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atLeast"/>
        <w:jc w:val="center"/>
        <w:rPr>
          <w:rFonts w:hAnsi="宋体"/>
          <w:b/>
          <w:sz w:val="28"/>
          <w:szCs w:val="21"/>
        </w:rPr>
      </w:pPr>
      <w:r>
        <w:rPr>
          <w:rStyle w:val="8"/>
          <w:rFonts w:hint="eastAsia" w:ascii="仿宋_GB2312" w:eastAsia="仿宋_GB2312"/>
          <w:color w:val="000000"/>
          <w:sz w:val="36"/>
          <w:szCs w:val="36"/>
        </w:rPr>
        <w:t>云南大学附属医院</w:t>
      </w:r>
      <w:r>
        <w:rPr>
          <w:rFonts w:hint="eastAsia" w:ascii="仿宋" w:hAnsi="仿宋" w:eastAsia="仿宋"/>
          <w:b/>
          <w:sz w:val="36"/>
          <w:szCs w:val="36"/>
        </w:rPr>
        <w:t>神经外科血流导向密网支架等医用耗材采购</w:t>
      </w:r>
      <w:r>
        <w:rPr>
          <w:rStyle w:val="8"/>
          <w:rFonts w:hint="eastAsia" w:ascii="仿宋_GB2312" w:eastAsia="仿宋_GB2312"/>
          <w:color w:val="000000"/>
          <w:sz w:val="36"/>
          <w:szCs w:val="36"/>
        </w:rPr>
        <w:t>需求调查公告</w:t>
      </w:r>
    </w:p>
    <w:p>
      <w:pPr>
        <w:pStyle w:val="5"/>
        <w:spacing w:before="0" w:beforeAutospacing="0" w:after="0" w:afterAutospacing="0" w:line="315" w:lineRule="atLeast"/>
        <w:rPr>
          <w:color w:val="000000"/>
          <w:sz w:val="21"/>
          <w:szCs w:val="21"/>
        </w:rPr>
      </w:pP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云南大学附属医院拟采购神经外科血流导向密网支架等医用耗材，为充分了解市场生产及供销情况，保证采购工作公正、公平、公开顺利开展，我院拟对以下项目医用耗材进行采购需求调查，</w:t>
      </w:r>
      <w:r>
        <w:rPr>
          <w:rFonts w:hint="eastAsia" w:ascii="仿宋_GB2312" w:eastAsia="仿宋_GB2312"/>
          <w:color w:val="000000"/>
          <w:sz w:val="29"/>
          <w:szCs w:val="29"/>
          <w:shd w:val="clear" w:color="auto" w:fill="FFFFFF"/>
        </w:rPr>
        <w:t>有意者请携带有关资料前来我院沟通洽谈。</w:t>
      </w:r>
    </w:p>
    <w:p>
      <w:pPr>
        <w:pStyle w:val="5"/>
        <w:numPr>
          <w:ilvl w:val="0"/>
          <w:numId w:val="1"/>
        </w:numPr>
        <w:shd w:val="clear" w:color="auto" w:fill="FFFFFF"/>
        <w:spacing w:before="0" w:beforeAutospacing="0" w:after="0" w:afterAutospacing="0" w:line="540" w:lineRule="atLeast"/>
        <w:rPr>
          <w:rStyle w:val="8"/>
          <w:rFonts w:hint="eastAsia" w:ascii="仿宋_GB2312" w:eastAsia="仿宋_GB2312"/>
          <w:color w:val="000000"/>
          <w:sz w:val="29"/>
          <w:szCs w:val="29"/>
        </w:rPr>
      </w:pPr>
      <w:r>
        <w:rPr>
          <w:rStyle w:val="8"/>
          <w:rFonts w:hint="eastAsia" w:ascii="仿宋_GB2312" w:eastAsia="仿宋_GB2312"/>
          <w:color w:val="000000"/>
          <w:sz w:val="29"/>
          <w:szCs w:val="29"/>
        </w:rPr>
        <w:t>项目内容</w:t>
      </w:r>
    </w:p>
    <w:tbl>
      <w:tblPr>
        <w:tblStyle w:val="6"/>
        <w:tblW w:w="8200" w:type="dxa"/>
        <w:tblInd w:w="93" w:type="dxa"/>
        <w:tblLayout w:type="autofit"/>
        <w:tblCellMar>
          <w:top w:w="0" w:type="dxa"/>
          <w:left w:w="108" w:type="dxa"/>
          <w:bottom w:w="0" w:type="dxa"/>
          <w:right w:w="108" w:type="dxa"/>
        </w:tblCellMar>
      </w:tblPr>
      <w:tblGrid>
        <w:gridCol w:w="1006"/>
        <w:gridCol w:w="2230"/>
        <w:gridCol w:w="4964"/>
      </w:tblGrid>
      <w:tr>
        <w:tblPrEx>
          <w:tblCellMar>
            <w:top w:w="0" w:type="dxa"/>
            <w:left w:w="108" w:type="dxa"/>
            <w:bottom w:w="0" w:type="dxa"/>
            <w:right w:w="108" w:type="dxa"/>
          </w:tblCellMar>
        </w:tblPrEx>
        <w:trPr>
          <w:trHeight w:val="495"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功能和用途</w:t>
            </w:r>
          </w:p>
        </w:tc>
      </w:tr>
      <w:tr>
        <w:tblPrEx>
          <w:tblCellMar>
            <w:top w:w="0" w:type="dxa"/>
            <w:left w:w="108" w:type="dxa"/>
            <w:bottom w:w="0" w:type="dxa"/>
            <w:right w:w="108" w:type="dxa"/>
          </w:tblCellMar>
        </w:tblPrEx>
        <w:trPr>
          <w:trHeight w:val="81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287</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血流导向密网支架</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该产品适用子颈内动脉及椎动脉未破裂囊性动脉瘤的惠者，造用范围动脉瘤瘤颈≥4mm且瘤体最大径≥10mm，靶病变血管直径2.0mm—6.5mm。</w:t>
            </w:r>
          </w:p>
        </w:tc>
      </w:tr>
      <w:tr>
        <w:tblPrEx>
          <w:tblCellMar>
            <w:top w:w="0" w:type="dxa"/>
            <w:left w:w="108" w:type="dxa"/>
            <w:bottom w:w="0" w:type="dxa"/>
            <w:right w:w="108" w:type="dxa"/>
          </w:tblCellMar>
        </w:tblPrEx>
        <w:trPr>
          <w:trHeight w:val="108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240</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可解脱弹簧圈</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该产品适用于颅内动脉瘤的血管内栓塞，同时也适用于其他神经血管畸形的栓塞，例如动静脉畸形，动静脉瘘管。该产品还适用于外周血管系统的动脉和静脉的栓塞。</w:t>
            </w:r>
          </w:p>
        </w:tc>
      </w:tr>
      <w:tr>
        <w:tblPrEx>
          <w:tblCellMar>
            <w:top w:w="0" w:type="dxa"/>
            <w:left w:w="108" w:type="dxa"/>
            <w:bottom w:w="0" w:type="dxa"/>
            <w:right w:w="108" w:type="dxa"/>
          </w:tblCellMar>
        </w:tblPrEx>
        <w:trPr>
          <w:trHeight w:val="171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246</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颅内覆膜支架系统</w:t>
            </w:r>
          </w:p>
        </w:tc>
        <w:tc>
          <w:tcPr>
            <w:tcW w:w="496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该产品用于颅段颈动脉、椎动脉的外伤性、假性动脉瘤；用于部分其他方法难治的颅段颈动脉、椎动脉瘤；选择性应用于颈动脉海绵窦段以下动脉瘤；使用的病变段血管直径为3.5-4.5mm；使用的颅内颈动脉瘤瘤径宽度小于10mm；建议应用于BOT耐受良好患者。目前永久植入的长期效果未知。</w:t>
            </w:r>
          </w:p>
        </w:tc>
      </w:tr>
      <w:tr>
        <w:tblPrEx>
          <w:tblCellMar>
            <w:top w:w="0" w:type="dxa"/>
            <w:left w:w="108" w:type="dxa"/>
            <w:bottom w:w="0" w:type="dxa"/>
            <w:right w:w="108" w:type="dxa"/>
          </w:tblCellMar>
        </w:tblPrEx>
        <w:trPr>
          <w:trHeight w:val="54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251</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颅内支撑导管</w:t>
            </w:r>
          </w:p>
        </w:tc>
        <w:tc>
          <w:tcPr>
            <w:tcW w:w="496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该产品用于在外周和神经血管里输送介入器材。</w:t>
            </w:r>
          </w:p>
        </w:tc>
      </w:tr>
      <w:tr>
        <w:tblPrEx>
          <w:tblCellMar>
            <w:top w:w="0" w:type="dxa"/>
            <w:left w:w="108" w:type="dxa"/>
            <w:bottom w:w="0" w:type="dxa"/>
            <w:right w:w="108" w:type="dxa"/>
          </w:tblCellMar>
        </w:tblPrEx>
        <w:trPr>
          <w:trHeight w:val="855"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269</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栓塞保护器</w:t>
            </w:r>
          </w:p>
        </w:tc>
        <w:tc>
          <w:tcPr>
            <w:tcW w:w="496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用于在血管介入手术中为患者提供尾端栓塞的保护，使用血管部位包括外周血管、冠状动脉和颈动脉。</w:t>
            </w:r>
          </w:p>
        </w:tc>
      </w:tr>
      <w:tr>
        <w:tblPrEx>
          <w:tblCellMar>
            <w:top w:w="0" w:type="dxa"/>
            <w:left w:w="108" w:type="dxa"/>
            <w:bottom w:w="0" w:type="dxa"/>
            <w:right w:w="108" w:type="dxa"/>
          </w:tblCellMar>
        </w:tblPrEx>
        <w:trPr>
          <w:trHeight w:val="171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274</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颈动脉支架(原名称：外周支架和输送器)</w:t>
            </w:r>
          </w:p>
        </w:tc>
        <w:tc>
          <w:tcPr>
            <w:tcW w:w="496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外周适用于治疗PTA术后有梗阻危险或极可能发生突发性梗阻的闭塞和损伤；或在骼总动脉、骼外动脉或锁骨下动脉进行PTA手术后极易发生的再狭窄的损伤。支架支撑是为了改善和维持动脉腔直径。颈动脉用于治疗颈总动脉（CCA）、颈内动脉（ICA）和颈动脉分叉狭窄的扩张治疗</w:t>
            </w:r>
          </w:p>
        </w:tc>
      </w:tr>
      <w:tr>
        <w:tblPrEx>
          <w:tblCellMar>
            <w:top w:w="0" w:type="dxa"/>
            <w:left w:w="108" w:type="dxa"/>
            <w:bottom w:w="0" w:type="dxa"/>
            <w:right w:w="108" w:type="dxa"/>
          </w:tblCellMar>
        </w:tblPrEx>
        <w:trPr>
          <w:trHeight w:val="57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276</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微导管 </w:t>
            </w:r>
          </w:p>
        </w:tc>
        <w:tc>
          <w:tcPr>
            <w:tcW w:w="496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该产品适用于专业医生有选择地控制灌注药物如栓塞材料和诊断材料如造影剂到外周及神经血管。</w:t>
            </w:r>
          </w:p>
        </w:tc>
      </w:tr>
      <w:tr>
        <w:tblPrEx>
          <w:tblCellMar>
            <w:top w:w="0" w:type="dxa"/>
            <w:left w:w="108" w:type="dxa"/>
            <w:bottom w:w="0" w:type="dxa"/>
            <w:right w:w="108" w:type="dxa"/>
          </w:tblCellMar>
        </w:tblPrEx>
        <w:trPr>
          <w:trHeight w:val="114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294</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液态栓塞系统 </w:t>
            </w:r>
          </w:p>
        </w:tc>
        <w:tc>
          <w:tcPr>
            <w:tcW w:w="496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Onyx-18，Onyx-20，Onyx-34系列产品用于外周和神经血管（包含动脉畸形和富含血管的肿瘤）损伤的栓塞。Onyx HD-500系列产品用于颅内动脉瘤的栓塞。</w:t>
            </w:r>
          </w:p>
        </w:tc>
      </w:tr>
      <w:tr>
        <w:tblPrEx>
          <w:tblCellMar>
            <w:top w:w="0" w:type="dxa"/>
            <w:left w:w="108" w:type="dxa"/>
            <w:bottom w:w="0" w:type="dxa"/>
            <w:right w:w="108" w:type="dxa"/>
          </w:tblCellMar>
        </w:tblPrEx>
        <w:trPr>
          <w:trHeight w:val="135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332</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颅内血管支架（原名称：神经血管重塑装置）</w:t>
            </w:r>
          </w:p>
        </w:tc>
        <w:tc>
          <w:tcPr>
            <w:tcW w:w="496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适用于治疗颅内神经血管疾病，与栓塞装置一起用于治疗颅内动脉瘤。</w:t>
            </w:r>
          </w:p>
        </w:tc>
      </w:tr>
      <w:tr>
        <w:tblPrEx>
          <w:tblCellMar>
            <w:top w:w="0" w:type="dxa"/>
            <w:left w:w="108" w:type="dxa"/>
            <w:bottom w:w="0" w:type="dxa"/>
            <w:right w:w="108" w:type="dxa"/>
          </w:tblCellMar>
        </w:tblPrEx>
        <w:trPr>
          <w:trHeight w:val="765"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210</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PTA球囊导管</w:t>
            </w:r>
          </w:p>
        </w:tc>
        <w:tc>
          <w:tcPr>
            <w:tcW w:w="4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该产品适用于对颅内动脉血管狭窄部位进行球囊扩张处理，以便改善颅内供血。由于狭窄病变部位多发于远端，需要产品具有良好的柔软度及到位性。</w:t>
            </w:r>
          </w:p>
        </w:tc>
      </w:tr>
      <w:tr>
        <w:tblPrEx>
          <w:tblCellMar>
            <w:top w:w="0" w:type="dxa"/>
            <w:left w:w="108" w:type="dxa"/>
            <w:bottom w:w="0" w:type="dxa"/>
            <w:right w:w="108" w:type="dxa"/>
          </w:tblCellMar>
        </w:tblPrEx>
        <w:trPr>
          <w:trHeight w:val="54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255</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颅内支架系统</w:t>
            </w:r>
          </w:p>
        </w:tc>
        <w:tc>
          <w:tcPr>
            <w:tcW w:w="4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该产品与封堵器械同时应用于颅内动脉瘤的治疗。用于辅助弹簧圈栓塞动脉瘤。</w:t>
            </w:r>
          </w:p>
        </w:tc>
      </w:tr>
      <w:tr>
        <w:tblPrEx>
          <w:tblCellMar>
            <w:top w:w="0" w:type="dxa"/>
            <w:left w:w="108" w:type="dxa"/>
            <w:bottom w:w="0" w:type="dxa"/>
            <w:right w:w="108" w:type="dxa"/>
          </w:tblCellMar>
        </w:tblPrEx>
        <w:trPr>
          <w:trHeight w:val="102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263</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神经导丝</w:t>
            </w:r>
          </w:p>
        </w:tc>
        <w:tc>
          <w:tcPr>
            <w:tcW w:w="4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神经介入导丝是一类操控性极强的导丝，设计用于到达并且超选到特定解剖结构并且为其他神经介入材料进入神经血管提供通路，需要具有良好的扭控性、精准的力量传导和力反馈。</w:t>
            </w:r>
          </w:p>
        </w:tc>
      </w:tr>
      <w:tr>
        <w:tblPrEx>
          <w:tblCellMar>
            <w:top w:w="0" w:type="dxa"/>
            <w:left w:w="108" w:type="dxa"/>
            <w:bottom w:w="0" w:type="dxa"/>
            <w:right w:w="108" w:type="dxa"/>
          </w:tblCellMar>
        </w:tblPrEx>
        <w:trPr>
          <w:trHeight w:val="108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271</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栓塞系统</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该产品用于对颅内动脉瘤、动静脉畸形和动静脉瘤实施血管内栓塞术。还可用于阻塞神经血管系统的血管，藉以永久性地阻断流向动脉瘤或其它血管畸形处的血流及对外周血管系统的动静脉实施栓塞术治疗。</w:t>
            </w:r>
          </w:p>
        </w:tc>
      </w:tr>
      <w:tr>
        <w:tblPrEx>
          <w:tblCellMar>
            <w:top w:w="0" w:type="dxa"/>
            <w:left w:w="108" w:type="dxa"/>
            <w:bottom w:w="0" w:type="dxa"/>
            <w:right w:w="108" w:type="dxa"/>
          </w:tblCellMar>
        </w:tblPrEx>
        <w:trPr>
          <w:trHeight w:val="81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286</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血管重建装置和传送系统</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该产品与治疗颅内动脉瘤的栓塞装置一起使用。</w:t>
            </w:r>
          </w:p>
        </w:tc>
      </w:tr>
      <w:tr>
        <w:tblPrEx>
          <w:tblCellMar>
            <w:top w:w="0" w:type="dxa"/>
            <w:left w:w="108" w:type="dxa"/>
            <w:bottom w:w="0" w:type="dxa"/>
            <w:right w:w="108" w:type="dxa"/>
          </w:tblCellMar>
        </w:tblPrEx>
        <w:trPr>
          <w:trHeight w:val="54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314</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远端通路导引导管</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该产品适用于在外周血管、冠状和神经血管系统中将介入器械或诊断器械引入血管内。</w:t>
            </w:r>
          </w:p>
        </w:tc>
      </w:tr>
      <w:tr>
        <w:tblPrEx>
          <w:tblCellMar>
            <w:top w:w="0" w:type="dxa"/>
            <w:left w:w="108" w:type="dxa"/>
            <w:bottom w:w="0" w:type="dxa"/>
            <w:right w:w="108" w:type="dxa"/>
          </w:tblCellMar>
        </w:tblPrEx>
        <w:trPr>
          <w:trHeight w:val="108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228</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封堵球囊导管系统</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该产品应用于需要进行临时封堵的外周血管或神经血管中，可提供临时性的封堵血管技术，对选择性地阻断或控制血流有效;该产品亦可用于颅内动脉瘤的球囊辅助栓塞治疗。</w:t>
            </w:r>
          </w:p>
        </w:tc>
      </w:tr>
      <w:tr>
        <w:tblPrEx>
          <w:tblCellMar>
            <w:top w:w="0" w:type="dxa"/>
            <w:left w:w="108" w:type="dxa"/>
            <w:bottom w:w="0" w:type="dxa"/>
            <w:right w:w="108" w:type="dxa"/>
          </w:tblCellMar>
        </w:tblPrEx>
        <w:trPr>
          <w:trHeight w:val="57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245</w:t>
            </w:r>
          </w:p>
        </w:tc>
        <w:tc>
          <w:tcPr>
            <w:tcW w:w="2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颅内动脉支架系统</w:t>
            </w:r>
          </w:p>
        </w:tc>
        <w:tc>
          <w:tcPr>
            <w:tcW w:w="496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该产品适用于颅内、颅底动脉狭窄病变,用于改善脑组织缺血。</w:t>
            </w:r>
          </w:p>
        </w:tc>
      </w:tr>
      <w:tr>
        <w:tblPrEx>
          <w:tblCellMar>
            <w:top w:w="0" w:type="dxa"/>
            <w:left w:w="108" w:type="dxa"/>
            <w:bottom w:w="0" w:type="dxa"/>
            <w:right w:w="108" w:type="dxa"/>
          </w:tblCellMar>
        </w:tblPrEx>
        <w:trPr>
          <w:trHeight w:val="54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324</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颈动脉支架系统</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需要进行经皮颈动脉血管成形术和支架置入术治疗动脉闭塞性疾病、</w:t>
            </w:r>
          </w:p>
        </w:tc>
      </w:tr>
      <w:tr>
        <w:tblPrEx>
          <w:tblCellMar>
            <w:top w:w="0" w:type="dxa"/>
            <w:left w:w="108" w:type="dxa"/>
            <w:bottom w:w="0" w:type="dxa"/>
            <w:right w:w="108" w:type="dxa"/>
          </w:tblCellMar>
        </w:tblPrEx>
        <w:trPr>
          <w:trHeight w:val="135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325</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抗栓塞远端保护装置</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借助于导引导丝和栓子保护装置用于颈动脉血管成形术和支架植入术以及下肢动脉独立减容术或联合PTA和/或支架植入术进行的过程中捕获并去除栓塞物质（血栓/碎片）。滤器放置部位所在动脉的直径应介于2.5mm到7.0mm。</w:t>
            </w:r>
          </w:p>
        </w:tc>
      </w:tr>
      <w:tr>
        <w:tblPrEx>
          <w:tblCellMar>
            <w:top w:w="0" w:type="dxa"/>
            <w:left w:w="108" w:type="dxa"/>
            <w:bottom w:w="0" w:type="dxa"/>
            <w:right w:w="108" w:type="dxa"/>
          </w:tblCellMar>
        </w:tblPrEx>
        <w:trPr>
          <w:trHeight w:val="81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333</w:t>
            </w:r>
          </w:p>
        </w:tc>
        <w:tc>
          <w:tcPr>
            <w:tcW w:w="2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脑脊液分流器及其组件</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该产品用于引流脑脊液，起到治疗脑积水及调节颅内压力的作用。分流器近端连接脑室或腰大池，远端连接腹腔。</w:t>
            </w:r>
          </w:p>
        </w:tc>
      </w:tr>
      <w:tr>
        <w:tblPrEx>
          <w:tblCellMar>
            <w:top w:w="0" w:type="dxa"/>
            <w:left w:w="108" w:type="dxa"/>
            <w:bottom w:w="0" w:type="dxa"/>
            <w:right w:w="108" w:type="dxa"/>
          </w:tblCellMar>
        </w:tblPrEx>
        <w:trPr>
          <w:trHeight w:val="27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329</w:t>
            </w:r>
          </w:p>
        </w:tc>
        <w:tc>
          <w:tcPr>
            <w:tcW w:w="2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颅颌骨内固定夹板</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颅骨缺损的替代修复 </w:t>
            </w:r>
          </w:p>
        </w:tc>
      </w:tr>
      <w:tr>
        <w:tblPrEx>
          <w:tblCellMar>
            <w:top w:w="0" w:type="dxa"/>
            <w:left w:w="108" w:type="dxa"/>
            <w:bottom w:w="0" w:type="dxa"/>
            <w:right w:w="108" w:type="dxa"/>
          </w:tblCellMar>
        </w:tblPrEx>
        <w:trPr>
          <w:trHeight w:val="102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259</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球囊导引导管</w:t>
            </w:r>
          </w:p>
        </w:tc>
        <w:tc>
          <w:tcPr>
            <w:tcW w:w="4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该产品用于协助血管内导管插入并被引导至外周或神经血管系统的目标血管内。在进行血管造影时，球囊可提供临时性的血管阻塞作用。该球囊导引导管还可以被用作取物器的通道。</w:t>
            </w:r>
          </w:p>
        </w:tc>
      </w:tr>
      <w:tr>
        <w:tblPrEx>
          <w:tblCellMar>
            <w:top w:w="0" w:type="dxa"/>
            <w:left w:w="108" w:type="dxa"/>
            <w:bottom w:w="0" w:type="dxa"/>
            <w:right w:w="108" w:type="dxa"/>
          </w:tblCellMar>
        </w:tblPrEx>
        <w:trPr>
          <w:trHeight w:val="108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313</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远端通路导管</w:t>
            </w:r>
          </w:p>
        </w:tc>
        <w:tc>
          <w:tcPr>
            <w:tcW w:w="4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该产品使闭塞导管,输注导管或其他适当的微导管更方便插入,并将微导管导引至外周,冠状或神经血管系统中。也可用作血管造影导管使用，以及作为管道用于回收器械。</w:t>
            </w:r>
          </w:p>
        </w:tc>
      </w:tr>
      <w:tr>
        <w:tblPrEx>
          <w:tblCellMar>
            <w:top w:w="0" w:type="dxa"/>
            <w:left w:w="108" w:type="dxa"/>
            <w:bottom w:w="0" w:type="dxa"/>
            <w:right w:w="108" w:type="dxa"/>
          </w:tblCellMar>
        </w:tblPrEx>
        <w:trPr>
          <w:trHeight w:val="54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318</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支架系统</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该产品与Gateway PTA球囊导管配套使用。用于颅内动脉粥样硬化狭窄而罹患TIA或中风的患者。</w:t>
            </w:r>
          </w:p>
        </w:tc>
      </w:tr>
      <w:tr>
        <w:tblPrEx>
          <w:tblCellMar>
            <w:top w:w="0" w:type="dxa"/>
            <w:left w:w="108" w:type="dxa"/>
            <w:bottom w:w="0" w:type="dxa"/>
            <w:right w:w="108" w:type="dxa"/>
          </w:tblCellMar>
        </w:tblPrEx>
        <w:trPr>
          <w:trHeight w:val="54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206</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颅颌面固定系统</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该产品适用于口-颌-颅-面矫形手术。</w:t>
            </w:r>
          </w:p>
        </w:tc>
      </w:tr>
      <w:tr>
        <w:tblPrEx>
          <w:tblCellMar>
            <w:top w:w="0" w:type="dxa"/>
            <w:left w:w="108" w:type="dxa"/>
            <w:bottom w:w="0" w:type="dxa"/>
            <w:right w:w="108" w:type="dxa"/>
          </w:tblCellMar>
        </w:tblPrEx>
        <w:trPr>
          <w:trHeight w:val="555"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236</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颈动脉支架（单轨型）</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该产品用于颈总动脉</w:t>
            </w:r>
            <w:r>
              <w:rPr>
                <w:rFonts w:ascii="Arial" w:hAnsi="Arial" w:eastAsia="宋体" w:cs="Arial"/>
                <w:kern w:val="0"/>
                <w:sz w:val="22"/>
              </w:rPr>
              <w:t xml:space="preserve">(CCA) , </w:t>
            </w:r>
            <w:r>
              <w:rPr>
                <w:rFonts w:hint="eastAsia" w:ascii="宋体" w:hAnsi="宋体" w:eastAsia="宋体" w:cs="宋体"/>
                <w:kern w:val="0"/>
                <w:sz w:val="22"/>
              </w:rPr>
              <w:t>颈内动脉</w:t>
            </w:r>
            <w:r>
              <w:rPr>
                <w:rFonts w:ascii="Arial" w:hAnsi="Arial" w:eastAsia="宋体" w:cs="Arial"/>
                <w:kern w:val="0"/>
                <w:sz w:val="22"/>
              </w:rPr>
              <w:t xml:space="preserve">(ICA) </w:t>
            </w:r>
            <w:r>
              <w:rPr>
                <w:rFonts w:hint="eastAsia" w:ascii="宋体" w:hAnsi="宋体" w:eastAsia="宋体" w:cs="宋体"/>
                <w:kern w:val="0"/>
                <w:sz w:val="22"/>
              </w:rPr>
              <w:t>和颈动脉分支狭窄的治疗。</w:t>
            </w:r>
          </w:p>
        </w:tc>
      </w:tr>
      <w:tr>
        <w:tblPrEx>
          <w:tblCellMar>
            <w:top w:w="0" w:type="dxa"/>
            <w:left w:w="108" w:type="dxa"/>
            <w:bottom w:w="0" w:type="dxa"/>
            <w:right w:w="108" w:type="dxa"/>
          </w:tblCellMar>
        </w:tblPrEx>
        <w:trPr>
          <w:trHeight w:val="1110"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290</w:t>
            </w: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血栓保护系统 </w:t>
            </w:r>
          </w:p>
        </w:tc>
        <w:tc>
          <w:tcPr>
            <w:tcW w:w="4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用作导丝和血栓保护系统，以便在颈动脉、冠状动脉和隐静脉移植物中实施血管成形术以及支架手术过程中容纳并取出</w:t>
            </w:r>
            <w:r>
              <w:rPr>
                <w:rFonts w:ascii="Arial" w:hAnsi="Arial" w:eastAsia="宋体" w:cs="Arial"/>
                <w:kern w:val="0"/>
                <w:sz w:val="22"/>
              </w:rPr>
              <w:t>;</w:t>
            </w:r>
            <w:r>
              <w:rPr>
                <w:rFonts w:hint="eastAsia" w:ascii="宋体" w:hAnsi="宋体" w:eastAsia="宋体" w:cs="宋体"/>
                <w:kern w:val="0"/>
                <w:sz w:val="22"/>
              </w:rPr>
              <w:t>血栓物质</w:t>
            </w:r>
            <w:r>
              <w:rPr>
                <w:rFonts w:ascii="Arial" w:hAnsi="Arial" w:eastAsia="宋体" w:cs="Arial"/>
                <w:kern w:val="0"/>
                <w:sz w:val="22"/>
              </w:rPr>
              <w:t>(</w:t>
            </w:r>
            <w:r>
              <w:rPr>
                <w:rFonts w:hint="eastAsia" w:ascii="宋体" w:hAnsi="宋体" w:eastAsia="宋体" w:cs="宋体"/>
                <w:kern w:val="0"/>
                <w:sz w:val="22"/>
              </w:rPr>
              <w:t>血栓</w:t>
            </w:r>
            <w:r>
              <w:rPr>
                <w:rFonts w:ascii="Arial" w:hAnsi="Arial" w:eastAsia="宋体" w:cs="Arial"/>
                <w:kern w:val="0"/>
                <w:sz w:val="22"/>
              </w:rPr>
              <w:t>/</w:t>
            </w:r>
            <w:r>
              <w:rPr>
                <w:rFonts w:hint="eastAsia" w:ascii="宋体" w:hAnsi="宋体" w:eastAsia="宋体" w:cs="宋体"/>
                <w:kern w:val="0"/>
                <w:sz w:val="22"/>
              </w:rPr>
              <w:t>碎屑</w:t>
            </w:r>
            <w:r>
              <w:rPr>
                <w:rFonts w:ascii="Arial" w:hAnsi="Arial" w:eastAsia="宋体" w:cs="Arial"/>
                <w:kern w:val="0"/>
                <w:sz w:val="22"/>
              </w:rPr>
              <w:t>)</w:t>
            </w:r>
            <w:r>
              <w:rPr>
                <w:rFonts w:hint="eastAsia" w:ascii="宋体" w:hAnsi="宋体" w:eastAsia="宋体" w:cs="宋体"/>
                <w:kern w:val="0"/>
                <w:sz w:val="22"/>
              </w:rPr>
              <w:t>。用于直径为</w:t>
            </w:r>
            <w:r>
              <w:rPr>
                <w:rFonts w:ascii="Arial" w:hAnsi="Arial" w:eastAsia="宋体" w:cs="Arial"/>
                <w:kern w:val="0"/>
                <w:sz w:val="22"/>
              </w:rPr>
              <w:t>3.5 mm</w:t>
            </w:r>
            <w:r>
              <w:rPr>
                <w:rFonts w:hint="eastAsia" w:ascii="宋体" w:hAnsi="宋体" w:eastAsia="宋体" w:cs="宋体"/>
                <w:kern w:val="0"/>
                <w:sz w:val="22"/>
              </w:rPr>
              <w:t>至</w:t>
            </w:r>
            <w:r>
              <w:rPr>
                <w:rFonts w:ascii="Arial" w:hAnsi="Arial" w:eastAsia="宋体" w:cs="Arial"/>
                <w:kern w:val="0"/>
                <w:sz w:val="22"/>
              </w:rPr>
              <w:t>5.5 mm</w:t>
            </w:r>
            <w:r>
              <w:rPr>
                <w:rFonts w:hint="eastAsia" w:ascii="宋体" w:hAnsi="宋体" w:eastAsia="宋体" w:cs="宋体"/>
                <w:kern w:val="0"/>
                <w:sz w:val="22"/>
              </w:rPr>
              <w:t>的血管。</w:t>
            </w:r>
          </w:p>
        </w:tc>
      </w:tr>
    </w:tbl>
    <w:p>
      <w:pPr>
        <w:pStyle w:val="5"/>
        <w:shd w:val="clear" w:color="auto" w:fill="FFFFFF"/>
        <w:spacing w:before="0" w:beforeAutospacing="0" w:after="0" w:afterAutospacing="0" w:line="540" w:lineRule="atLeast"/>
        <w:ind w:left="1197"/>
        <w:rPr>
          <w:rFonts w:ascii="仿宋_GB2312" w:eastAsia="仿宋_GB2312"/>
          <w:b/>
          <w:bCs/>
          <w:color w:val="000000"/>
          <w:sz w:val="29"/>
          <w:szCs w:val="29"/>
        </w:rPr>
      </w:pPr>
    </w:p>
    <w:p>
      <w:pPr>
        <w:pStyle w:val="5"/>
        <w:shd w:val="clear" w:color="auto" w:fill="FFFFFF"/>
        <w:spacing w:before="0" w:beforeAutospacing="0" w:after="0" w:afterAutospacing="0" w:line="540" w:lineRule="atLeast"/>
        <w:ind w:firstLine="582" w:firstLineChars="200"/>
        <w:rPr>
          <w:color w:val="000000"/>
          <w:sz w:val="21"/>
          <w:szCs w:val="21"/>
        </w:rPr>
      </w:pPr>
      <w:r>
        <w:rPr>
          <w:rStyle w:val="8"/>
          <w:rFonts w:hint="eastAsia" w:ascii="仿宋_GB2312" w:eastAsia="仿宋_GB2312"/>
          <w:color w:val="000000"/>
          <w:sz w:val="29"/>
          <w:szCs w:val="29"/>
        </w:rPr>
        <w:t>二、报名资料及采购需求调查申请文件要求</w:t>
      </w:r>
      <w:r>
        <w:rPr>
          <w:rStyle w:val="8"/>
          <w:rFonts w:hint="eastAsia"/>
          <w:color w:val="000000"/>
          <w:sz w:val="29"/>
          <w:szCs w:val="29"/>
        </w:rPr>
        <w:t>  </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1</w:t>
      </w:r>
      <w:r>
        <w:rPr>
          <w:rFonts w:hint="eastAsia" w:ascii="仿宋_GB2312" w:eastAsia="仿宋_GB2312"/>
          <w:color w:val="000000"/>
          <w:sz w:val="29"/>
          <w:szCs w:val="29"/>
        </w:rPr>
        <w:t>、报名资料：</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1.1、有效期内的三证合一营业执照、医疗器械经营许可证复印件，加盖公章；</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1.2、供应商法人身份证复印件、经办人身份证复印件和联系方式、经办人授权书、无犯罪承诺书以及供应商在报名参加本项目时间前未被列入“信用中国”网站（www.creditchina.gov.cn）失信被执行人及中国政府采购网（www.ccgp.gov.cn） “政府采购严重违法失信行为信息记录名单”截图并加盖公章；</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2.</w:t>
      </w:r>
      <w:r>
        <w:rPr>
          <w:rFonts w:hint="eastAsia" w:ascii="仿宋_GB2312" w:eastAsia="仿宋_GB2312"/>
          <w:color w:val="000000"/>
          <w:sz w:val="29"/>
          <w:szCs w:val="29"/>
        </w:rPr>
        <w:t>采购需求调查申请文件</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2.1、</w:t>
      </w:r>
      <w:r>
        <w:rPr>
          <w:rFonts w:hint="eastAsia" w:ascii="仿宋_GB2312" w:eastAsia="仿宋_GB2312"/>
          <w:color w:val="000000"/>
          <w:sz w:val="29"/>
          <w:szCs w:val="29"/>
        </w:rPr>
        <w:t>有效期内的三证合一营业执照、医疗器械经营许可证复印件；</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2.2、</w:t>
      </w:r>
      <w:r>
        <w:rPr>
          <w:rFonts w:hint="eastAsia" w:ascii="仿宋_GB2312" w:eastAsia="仿宋_GB2312"/>
          <w:color w:val="000000"/>
          <w:sz w:val="29"/>
          <w:szCs w:val="29"/>
        </w:rPr>
        <w:t>供应商法人身份证复印件、经办人身份证复印件、经办人授权书（法人亲自参加现场咨询的，可不出具法定代表人授权书）；</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2.3、产品医疗器械注册证（含注册登记表及附件）复印件；不按医疗器械管理需提供相关证明材料。</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2.4</w:t>
      </w:r>
      <w:r>
        <w:rPr>
          <w:rFonts w:hint="eastAsia" w:ascii="仿宋_GB2312" w:eastAsia="仿宋_GB2312"/>
          <w:color w:val="000000"/>
          <w:sz w:val="29"/>
          <w:szCs w:val="29"/>
        </w:rPr>
        <w:t>、医疗器械生产许可证复印件；</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2.6、《云南大学附属医院采购需求调查产品信息一览表</w:t>
      </w:r>
      <w:r>
        <w:rPr>
          <w:rFonts w:hint="eastAsia" w:ascii="仿宋_GB2312" w:eastAsia="仿宋_GB2312"/>
          <w:color w:val="585858"/>
          <w:sz w:val="29"/>
          <w:szCs w:val="29"/>
        </w:rPr>
        <w:t>》</w:t>
      </w:r>
      <w:r>
        <w:rPr>
          <w:rFonts w:hint="eastAsia" w:ascii="仿宋_GB2312" w:eastAsia="仿宋_GB2312"/>
          <w:color w:val="000000"/>
          <w:sz w:val="29"/>
          <w:szCs w:val="29"/>
        </w:rPr>
        <w:t>（请在附件中自行下载并完整填写）；</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2.7、产品技术资料（包含且不限于产品彩页、产品说明书等）;</w:t>
      </w:r>
    </w:p>
    <w:p>
      <w:pPr>
        <w:pStyle w:val="5"/>
        <w:shd w:val="clear" w:color="auto" w:fill="FFFFFF"/>
        <w:spacing w:before="0" w:beforeAutospacing="0" w:after="0" w:afterAutospacing="0" w:line="540" w:lineRule="atLeast"/>
        <w:ind w:firstLine="582" w:firstLineChars="200"/>
        <w:rPr>
          <w:rStyle w:val="8"/>
          <w:rFonts w:ascii="仿宋_GB2312" w:eastAsia="仿宋_GB2312"/>
          <w:bCs w:val="0"/>
          <w:color w:val="000000"/>
          <w:sz w:val="29"/>
          <w:szCs w:val="29"/>
        </w:rPr>
      </w:pPr>
      <w:r>
        <w:rPr>
          <w:rStyle w:val="8"/>
          <w:rFonts w:hint="eastAsia" w:ascii="仿宋_GB2312" w:eastAsia="仿宋_GB2312"/>
          <w:bCs w:val="0"/>
          <w:color w:val="000000"/>
          <w:sz w:val="29"/>
          <w:szCs w:val="29"/>
        </w:rPr>
        <w:t>三、资料文件报送要求及相关安排</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1、报名资料、采购需求调查申请文件所需材料列出目录，按顺序排列，不可遗漏，加盖公章，分别扫描制作为两个PDF文件。</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2、《云南大学附属医院采购需求调查产品信息一览表》使用excel表格填写，项目内容中所有标段都需列出，按要求填写自己所报名标段，不报标段空着即可（采购需求调查申请PDF文件中只需列出所报标段）。填写完毕后excel文件命名为：神经外科医用耗材+公司名字。</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3、报送方式：使用U盘把以上文件在报名截止日期前送至云南大学附属医院临时门诊楼503室（昆明市青年路176号），U盘内应有以下三个文件：</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（1）报名资料PDF</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（2）采购需求调查申请文件PDF</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（3）《云南大学附属医院采购需求调查产品信息一览表》excel</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4、报名资料文件递交时间：2022年12月</w:t>
      </w:r>
      <w:r>
        <w:rPr>
          <w:rFonts w:hint="eastAsia" w:ascii="仿宋_GB2312" w:eastAsia="仿宋_GB2312"/>
          <w:color w:val="000000"/>
          <w:sz w:val="29"/>
          <w:szCs w:val="29"/>
          <w:lang w:val="en-US" w:eastAsia="zh-CN"/>
        </w:rPr>
        <w:t>11</w:t>
      </w:r>
      <w:r>
        <w:rPr>
          <w:rFonts w:hint="eastAsia" w:ascii="仿宋_GB2312" w:eastAsia="仿宋_GB2312"/>
          <w:color w:val="000000"/>
          <w:sz w:val="29"/>
          <w:szCs w:val="29"/>
        </w:rPr>
        <w:t>日---2022年12月</w:t>
      </w:r>
      <w:r>
        <w:rPr>
          <w:rFonts w:hint="eastAsia" w:ascii="仿宋_GB2312" w:eastAsia="仿宋_GB2312"/>
          <w:color w:val="000000"/>
          <w:sz w:val="29"/>
          <w:szCs w:val="29"/>
          <w:lang w:val="en-US" w:eastAsia="zh-CN"/>
        </w:rPr>
        <w:t>17</w:t>
      </w:r>
      <w:bookmarkStart w:id="0" w:name="_GoBack"/>
      <w:bookmarkEnd w:id="0"/>
      <w:r>
        <w:rPr>
          <w:rFonts w:hint="eastAsia" w:ascii="仿宋_GB2312" w:eastAsia="仿宋_GB2312"/>
          <w:color w:val="000000"/>
          <w:sz w:val="29"/>
          <w:szCs w:val="29"/>
        </w:rPr>
        <w:t>日上午9:00-12:00,下午14:00--17:00（法定节假日除外），未按时递交材料视为自动放弃，不予受理。</w:t>
      </w:r>
    </w:p>
    <w:p>
      <w:pPr>
        <w:pStyle w:val="5"/>
        <w:shd w:val="clear" w:color="auto" w:fill="FFFFFF"/>
        <w:spacing w:before="0" w:beforeAutospacing="0" w:after="0" w:afterAutospacing="0" w:line="420" w:lineRule="atLeast"/>
        <w:ind w:firstLine="555"/>
        <w:rPr>
          <w:color w:val="000000"/>
          <w:sz w:val="21"/>
          <w:szCs w:val="21"/>
        </w:rPr>
      </w:pPr>
      <w:r>
        <w:rPr>
          <w:rStyle w:val="8"/>
          <w:rFonts w:hint="eastAsia" w:ascii="仿宋_GB2312" w:eastAsia="仿宋_GB2312"/>
          <w:color w:val="000000"/>
          <w:sz w:val="29"/>
          <w:szCs w:val="29"/>
        </w:rPr>
        <w:t>四、采购需求调查会</w:t>
      </w:r>
    </w:p>
    <w:p>
      <w:pPr>
        <w:pStyle w:val="5"/>
        <w:shd w:val="clear" w:color="auto" w:fill="FFFFFF"/>
        <w:spacing w:before="0" w:beforeAutospacing="0" w:after="0" w:afterAutospacing="0" w:line="420" w:lineRule="atLeast"/>
        <w:ind w:firstLine="555"/>
        <w:rPr>
          <w:color w:val="000000"/>
          <w:sz w:val="21"/>
          <w:szCs w:val="21"/>
        </w:rPr>
      </w:pPr>
      <w:r>
        <w:rPr>
          <w:rFonts w:hint="eastAsia" w:ascii="仿宋_GB2312" w:eastAsia="仿宋_GB2312"/>
          <w:color w:val="000000"/>
          <w:sz w:val="29"/>
          <w:szCs w:val="29"/>
        </w:rPr>
        <w:t>1、调查会议时间：根据收集资料的情况另行通知时间</w:t>
      </w:r>
    </w:p>
    <w:p>
      <w:pPr>
        <w:pStyle w:val="5"/>
        <w:shd w:val="clear" w:color="auto" w:fill="FFFFFF"/>
        <w:spacing w:before="0" w:beforeAutospacing="0" w:after="0" w:afterAutospacing="0" w:line="420" w:lineRule="atLeast"/>
        <w:ind w:firstLine="555"/>
        <w:rPr>
          <w:color w:val="000000"/>
          <w:sz w:val="21"/>
          <w:szCs w:val="21"/>
        </w:rPr>
      </w:pPr>
      <w:r>
        <w:rPr>
          <w:rFonts w:hint="eastAsia" w:ascii="仿宋_GB2312" w:eastAsia="仿宋_GB2312"/>
          <w:color w:val="000000"/>
          <w:sz w:val="29"/>
          <w:szCs w:val="29"/>
        </w:rPr>
        <w:t>2、会议地点：云南大学附属医院</w:t>
      </w:r>
      <w:r>
        <w:rPr>
          <w:rFonts w:hint="eastAsia" w:ascii="仿宋_GB2312" w:eastAsia="仿宋_GB2312"/>
          <w:color w:val="000000"/>
          <w:sz w:val="29"/>
          <w:szCs w:val="29"/>
          <w:u w:val="single"/>
        </w:rPr>
        <w:t>临时门诊楼509</w:t>
      </w:r>
      <w:r>
        <w:rPr>
          <w:rFonts w:hint="eastAsia" w:ascii="仿宋_GB2312" w:eastAsia="仿宋_GB2312"/>
          <w:color w:val="000000"/>
          <w:sz w:val="29"/>
          <w:szCs w:val="29"/>
        </w:rPr>
        <w:t>室（昆明市青年路176号）</w:t>
      </w:r>
    </w:p>
    <w:p>
      <w:pPr>
        <w:pStyle w:val="5"/>
        <w:shd w:val="clear" w:color="auto" w:fill="FFFFFF"/>
        <w:spacing w:before="0" w:beforeAutospacing="0" w:after="0" w:afterAutospacing="0" w:line="420" w:lineRule="atLeast"/>
        <w:ind w:firstLine="555"/>
        <w:rPr>
          <w:rStyle w:val="8"/>
          <w:rFonts w:ascii="仿宋_GB2312" w:eastAsia="仿宋_GB2312"/>
          <w:color w:val="FF0000"/>
          <w:sz w:val="29"/>
          <w:szCs w:val="29"/>
        </w:rPr>
      </w:pPr>
      <w:r>
        <w:rPr>
          <w:rStyle w:val="8"/>
          <w:rFonts w:hint="eastAsia" w:ascii="仿宋_GB2312" w:eastAsia="仿宋_GB2312"/>
          <w:color w:val="FF0000"/>
          <w:sz w:val="29"/>
          <w:szCs w:val="29"/>
        </w:rPr>
        <w:t>调查会议时，将对医用耗材相关事宜进行详细调查咨询，供应商或厂家须派熟悉产品功能、技术指标、市场供应、售后服务等情况的人员参会，以免影响调查会效果。</w:t>
      </w:r>
    </w:p>
    <w:p>
      <w:pPr>
        <w:pStyle w:val="5"/>
        <w:shd w:val="clear" w:color="auto" w:fill="FFFFFF"/>
        <w:spacing w:before="0" w:beforeAutospacing="0" w:after="0" w:afterAutospacing="0"/>
        <w:ind w:firstLine="600"/>
        <w:rPr>
          <w:color w:val="000000"/>
          <w:sz w:val="21"/>
          <w:szCs w:val="21"/>
        </w:rPr>
      </w:pPr>
      <w:r>
        <w:rPr>
          <w:rStyle w:val="8"/>
          <w:rFonts w:hint="eastAsia" w:ascii="仿宋_GB2312" w:eastAsia="仿宋_GB2312"/>
          <w:color w:val="000000"/>
          <w:sz w:val="30"/>
          <w:szCs w:val="30"/>
        </w:rPr>
        <w:t>备注：</w:t>
      </w:r>
    </w:p>
    <w:p>
      <w:pPr>
        <w:pStyle w:val="5"/>
        <w:shd w:val="clear" w:color="auto" w:fill="FFFFFF"/>
        <w:spacing w:before="0" w:beforeAutospacing="0" w:after="0" w:afterAutospacing="0"/>
        <w:ind w:firstLine="600"/>
        <w:rPr>
          <w:color w:val="000000"/>
          <w:sz w:val="21"/>
          <w:szCs w:val="21"/>
        </w:rPr>
      </w:pPr>
      <w:r>
        <w:rPr>
          <w:rStyle w:val="8"/>
          <w:rFonts w:hint="eastAsia" w:ascii="仿宋_GB2312" w:eastAsia="仿宋_GB2312"/>
          <w:color w:val="000000"/>
          <w:sz w:val="30"/>
          <w:szCs w:val="30"/>
        </w:rPr>
        <w:t>根据疫情防控要求，凡到我院进行报名和参加技术咨询会的人员均需要提供24小时核酸检测报告阴性的证明；为减少人员接触，除递交资料和参加技术咨询会，有问题请尽量电话沟通。</w:t>
      </w:r>
    </w:p>
    <w:p>
      <w:pPr>
        <w:pStyle w:val="5"/>
        <w:shd w:val="clear" w:color="auto" w:fill="FFFFFF"/>
        <w:spacing w:before="0" w:beforeAutospacing="0" w:after="0" w:afterAutospacing="0" w:line="420" w:lineRule="atLeast"/>
        <w:ind w:firstLine="555"/>
        <w:rPr>
          <w:color w:val="000000"/>
          <w:sz w:val="21"/>
          <w:szCs w:val="21"/>
        </w:rPr>
      </w:pP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 </w:t>
      </w: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联系咨询：云南大学附属医院设备物资采购部</w:t>
      </w: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联系人：曾老师</w:t>
      </w: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联系电话：</w:t>
      </w:r>
      <w:r>
        <w:rPr>
          <w:rFonts w:hint="eastAsia"/>
          <w:color w:val="000000"/>
          <w:sz w:val="29"/>
          <w:szCs w:val="29"/>
        </w:rPr>
        <w:t>0871-65156650</w:t>
      </w:r>
      <w:r>
        <w:rPr>
          <w:rFonts w:hint="eastAsia" w:ascii="仿宋_GB2312" w:eastAsia="仿宋_GB2312"/>
          <w:color w:val="000000"/>
          <w:sz w:val="29"/>
          <w:szCs w:val="29"/>
        </w:rPr>
        <w:t>转</w:t>
      </w:r>
      <w:r>
        <w:rPr>
          <w:rFonts w:hint="eastAsia"/>
          <w:color w:val="000000"/>
          <w:sz w:val="29"/>
          <w:szCs w:val="29"/>
        </w:rPr>
        <w:t>2616</w:t>
      </w: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 xml:space="preserve">          </w:t>
      </w:r>
      <w:r>
        <w:rPr>
          <w:rFonts w:hint="eastAsia"/>
          <w:color w:val="000000"/>
          <w:sz w:val="29"/>
          <w:szCs w:val="29"/>
        </w:rPr>
        <w:t>19987163072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D375B"/>
    <w:multiLevelType w:val="multilevel"/>
    <w:tmpl w:val="210D375B"/>
    <w:lvl w:ilvl="0" w:tentative="0">
      <w:start w:val="1"/>
      <w:numFmt w:val="japaneseCounting"/>
      <w:lvlText w:val="%1、"/>
      <w:lvlJc w:val="left"/>
      <w:pPr>
        <w:ind w:left="1197" w:hanging="615"/>
      </w:pPr>
      <w:rPr>
        <w:rFonts w:hint="default"/>
      </w:rPr>
    </w:lvl>
    <w:lvl w:ilvl="1" w:tentative="0">
      <w:start w:val="1"/>
      <w:numFmt w:val="lowerLetter"/>
      <w:lvlText w:val="%2)"/>
      <w:lvlJc w:val="left"/>
      <w:pPr>
        <w:ind w:left="1422" w:hanging="420"/>
      </w:pPr>
    </w:lvl>
    <w:lvl w:ilvl="2" w:tentative="0">
      <w:start w:val="1"/>
      <w:numFmt w:val="lowerRoman"/>
      <w:lvlText w:val="%3."/>
      <w:lvlJc w:val="right"/>
      <w:pPr>
        <w:ind w:left="1842" w:hanging="420"/>
      </w:pPr>
    </w:lvl>
    <w:lvl w:ilvl="3" w:tentative="0">
      <w:start w:val="1"/>
      <w:numFmt w:val="decimal"/>
      <w:lvlText w:val="%4."/>
      <w:lvlJc w:val="left"/>
      <w:pPr>
        <w:ind w:left="2262" w:hanging="420"/>
      </w:pPr>
    </w:lvl>
    <w:lvl w:ilvl="4" w:tentative="0">
      <w:start w:val="1"/>
      <w:numFmt w:val="lowerLetter"/>
      <w:lvlText w:val="%5)"/>
      <w:lvlJc w:val="left"/>
      <w:pPr>
        <w:ind w:left="2682" w:hanging="420"/>
      </w:pPr>
    </w:lvl>
    <w:lvl w:ilvl="5" w:tentative="0">
      <w:start w:val="1"/>
      <w:numFmt w:val="lowerRoman"/>
      <w:lvlText w:val="%6."/>
      <w:lvlJc w:val="right"/>
      <w:pPr>
        <w:ind w:left="3102" w:hanging="420"/>
      </w:pPr>
    </w:lvl>
    <w:lvl w:ilvl="6" w:tentative="0">
      <w:start w:val="1"/>
      <w:numFmt w:val="decimal"/>
      <w:lvlText w:val="%7."/>
      <w:lvlJc w:val="left"/>
      <w:pPr>
        <w:ind w:left="3522" w:hanging="420"/>
      </w:pPr>
    </w:lvl>
    <w:lvl w:ilvl="7" w:tentative="0">
      <w:start w:val="1"/>
      <w:numFmt w:val="lowerLetter"/>
      <w:lvlText w:val="%8)"/>
      <w:lvlJc w:val="left"/>
      <w:pPr>
        <w:ind w:left="3942" w:hanging="420"/>
      </w:pPr>
    </w:lvl>
    <w:lvl w:ilvl="8" w:tentative="0">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YzNhNGQ2M2UxMjU0MzkyNmM2MWQ5YWVkNTU5NjUifQ=="/>
  </w:docVars>
  <w:rsids>
    <w:rsidRoot w:val="00692F94"/>
    <w:rsid w:val="0009100F"/>
    <w:rsid w:val="00151309"/>
    <w:rsid w:val="001530BC"/>
    <w:rsid w:val="001666FC"/>
    <w:rsid w:val="00172880"/>
    <w:rsid w:val="001728C5"/>
    <w:rsid w:val="001B0CC3"/>
    <w:rsid w:val="001C281E"/>
    <w:rsid w:val="00220D92"/>
    <w:rsid w:val="00225C3E"/>
    <w:rsid w:val="002660A6"/>
    <w:rsid w:val="00286CFB"/>
    <w:rsid w:val="002C6B72"/>
    <w:rsid w:val="002E467E"/>
    <w:rsid w:val="00362A59"/>
    <w:rsid w:val="00433ACF"/>
    <w:rsid w:val="005162AB"/>
    <w:rsid w:val="005A5081"/>
    <w:rsid w:val="005F3239"/>
    <w:rsid w:val="006309AB"/>
    <w:rsid w:val="00662E28"/>
    <w:rsid w:val="006877F5"/>
    <w:rsid w:val="00692F94"/>
    <w:rsid w:val="006C3F97"/>
    <w:rsid w:val="006E1657"/>
    <w:rsid w:val="007B4630"/>
    <w:rsid w:val="00897281"/>
    <w:rsid w:val="008D4F11"/>
    <w:rsid w:val="00932487"/>
    <w:rsid w:val="009830C4"/>
    <w:rsid w:val="009E03DE"/>
    <w:rsid w:val="00A36DB5"/>
    <w:rsid w:val="00A6447F"/>
    <w:rsid w:val="00A87F79"/>
    <w:rsid w:val="00BD621B"/>
    <w:rsid w:val="00BE3180"/>
    <w:rsid w:val="00CC5E19"/>
    <w:rsid w:val="00D1642F"/>
    <w:rsid w:val="00D40D44"/>
    <w:rsid w:val="00D81BEF"/>
    <w:rsid w:val="00E305C9"/>
    <w:rsid w:val="00EA4F7F"/>
    <w:rsid w:val="00EB7C0D"/>
    <w:rsid w:val="4C464A0C"/>
    <w:rsid w:val="76D6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alibri" w:eastAsia="宋体" w:cs="Times New Roman"/>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纯文本 Char"/>
    <w:basedOn w:val="7"/>
    <w:semiHidden/>
    <w:qFormat/>
    <w:uiPriority w:val="99"/>
    <w:rPr>
      <w:rFonts w:ascii="宋体" w:hAnsi="Courier New" w:eastAsia="宋体" w:cs="Courier New"/>
      <w:szCs w:val="21"/>
    </w:rPr>
  </w:style>
  <w:style w:type="character" w:customStyle="1" w:styleId="12">
    <w:name w:val="纯文本 Char1"/>
    <w:link w:val="2"/>
    <w:qFormat/>
    <w:uiPriority w:val="0"/>
    <w:rPr>
      <w:rFonts w:ascii="宋体"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3005</Words>
  <Characters>3332</Characters>
  <Lines>24</Lines>
  <Paragraphs>7</Paragraphs>
  <TotalTime>163</TotalTime>
  <ScaleCrop>false</ScaleCrop>
  <LinksUpToDate>false</LinksUpToDate>
  <CharactersWithSpaces>3358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2022-11-28T06:14:00Z</dcterms:created>
  <dc:creator>admin</dc:creator>
  <cp:lastModifiedBy>Administrator</cp:lastModifiedBy>
  <cp:lastPrinted>2022-11-28T07:25:00Z</cp:lastPrinted>
  <dcterms:modified xsi:type="dcterms:W3CDTF">2022-12-11T06:11:34Z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0706FACAD5A34A4BAB0C588C53F71515</vt:lpwstr>
  </property>
</Properties>
</file>