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CF" w:rsidRPr="00C25ED2" w:rsidRDefault="00A930CF" w:rsidP="00A930CF">
      <w:pPr>
        <w:pStyle w:val="pMsoNormal"/>
        <w:spacing w:line="590" w:lineRule="atLeast"/>
        <w:jc w:val="center"/>
        <w:rPr>
          <w:rFonts w:asciiTheme="majorEastAsia" w:eastAsiaTheme="majorEastAsia" w:hAnsiTheme="majorEastAsia"/>
          <w:b/>
        </w:rPr>
      </w:pPr>
      <w:r w:rsidRPr="00C25ED2">
        <w:rPr>
          <w:rFonts w:asciiTheme="majorEastAsia" w:eastAsiaTheme="majorEastAsia" w:hAnsiTheme="majorEastAsia" w:cs="方正小标宋简体"/>
          <w:b/>
          <w:sz w:val="36"/>
          <w:szCs w:val="36"/>
        </w:rPr>
        <w:t>云南省</w:t>
      </w:r>
      <w:r w:rsidRPr="00C25ED2">
        <w:rPr>
          <w:rFonts w:asciiTheme="majorEastAsia" w:eastAsiaTheme="majorEastAsia" w:hAnsiTheme="majorEastAsia" w:cs="方正小标宋简体" w:hint="eastAsia"/>
          <w:b/>
          <w:sz w:val="36"/>
          <w:szCs w:val="36"/>
        </w:rPr>
        <w:t>第二人民医院</w:t>
      </w:r>
      <w:r w:rsidRPr="00C25ED2">
        <w:rPr>
          <w:rFonts w:asciiTheme="majorEastAsia" w:eastAsiaTheme="majorEastAsia" w:hAnsiTheme="majorEastAsia" w:cs="方正小标宋简体"/>
          <w:b/>
          <w:sz w:val="36"/>
          <w:szCs w:val="36"/>
        </w:rPr>
        <w:t>2019年度部门决算</w:t>
      </w:r>
      <w:r w:rsidRPr="00C25ED2">
        <w:rPr>
          <w:rFonts w:asciiTheme="majorEastAsia" w:eastAsiaTheme="majorEastAsia" w:hAnsiTheme="majorEastAsia" w:cs="方正小标宋简体" w:hint="eastAsia"/>
          <w:b/>
          <w:sz w:val="36"/>
          <w:szCs w:val="36"/>
        </w:rPr>
        <w:t>公开目录</w:t>
      </w:r>
    </w:p>
    <w:p w:rsidR="00502726" w:rsidRDefault="00502726" w:rsidP="00A930CF">
      <w:pPr>
        <w:rPr>
          <w:b/>
          <w:sz w:val="24"/>
          <w:szCs w:val="24"/>
        </w:rPr>
      </w:pPr>
    </w:p>
    <w:p w:rsidR="00A930CF" w:rsidRPr="00C25ED2" w:rsidRDefault="00A930CF" w:rsidP="00A930CF">
      <w:pPr>
        <w:rPr>
          <w:b/>
          <w:sz w:val="24"/>
          <w:szCs w:val="24"/>
        </w:rPr>
      </w:pPr>
      <w:r w:rsidRPr="00C25ED2">
        <w:rPr>
          <w:b/>
          <w:sz w:val="24"/>
          <w:szCs w:val="24"/>
        </w:rPr>
        <w:t>第一部分</w:t>
      </w:r>
      <w:r w:rsidRPr="00C25ED2">
        <w:rPr>
          <w:rFonts w:cs="Calibri"/>
          <w:b/>
          <w:sz w:val="24"/>
          <w:szCs w:val="24"/>
        </w:rPr>
        <w:t>  </w:t>
      </w:r>
      <w:r w:rsidRPr="00C25ED2">
        <w:rPr>
          <w:b/>
          <w:sz w:val="24"/>
          <w:szCs w:val="24"/>
        </w:rPr>
        <w:t>云南省</w:t>
      </w:r>
      <w:r w:rsidRPr="00C25ED2">
        <w:rPr>
          <w:rFonts w:hint="eastAsia"/>
          <w:b/>
          <w:sz w:val="24"/>
          <w:szCs w:val="24"/>
        </w:rPr>
        <w:t>第二人民医院</w:t>
      </w:r>
      <w:r w:rsidRPr="00C25ED2">
        <w:rPr>
          <w:b/>
          <w:sz w:val="24"/>
          <w:szCs w:val="24"/>
        </w:rPr>
        <w:t>概况</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一、</w:t>
      </w:r>
      <w:r w:rsidRPr="00C25ED2">
        <w:rPr>
          <w:rFonts w:ascii="宋体" w:eastAsia="宋体" w:hAnsi="宋体" w:cs="楷体" w:hint="eastAsia"/>
          <w:sz w:val="24"/>
          <w:szCs w:val="24"/>
        </w:rPr>
        <w:t>部门</w:t>
      </w:r>
      <w:r w:rsidRPr="00C25ED2">
        <w:rPr>
          <w:rFonts w:ascii="宋体" w:eastAsia="宋体" w:hAnsi="宋体" w:cs="楷体"/>
          <w:sz w:val="24"/>
          <w:szCs w:val="24"/>
        </w:rPr>
        <w:t>主要职</w:t>
      </w:r>
      <w:r w:rsidRPr="00C25ED2">
        <w:rPr>
          <w:rFonts w:ascii="宋体" w:eastAsia="宋体" w:hAnsi="宋体" w:cs="楷体" w:hint="eastAsia"/>
          <w:sz w:val="24"/>
          <w:szCs w:val="24"/>
        </w:rPr>
        <w:t>责</w:t>
      </w:r>
    </w:p>
    <w:p w:rsidR="00A930CF" w:rsidRPr="00C25ED2" w:rsidRDefault="00A930CF" w:rsidP="00A930CF">
      <w:pPr>
        <w:pStyle w:val="pMsoNormal"/>
        <w:spacing w:line="590" w:lineRule="atLeast"/>
        <w:jc w:val="left"/>
        <w:rPr>
          <w:rFonts w:ascii="宋体" w:eastAsia="宋体" w:hAnsi="宋体" w:cs="楷体"/>
          <w:sz w:val="24"/>
          <w:szCs w:val="24"/>
        </w:rPr>
      </w:pPr>
      <w:r w:rsidRPr="00C25ED2">
        <w:rPr>
          <w:rFonts w:ascii="宋体" w:eastAsia="宋体" w:hAnsi="宋体" w:cs="楷体"/>
          <w:sz w:val="24"/>
          <w:szCs w:val="24"/>
        </w:rPr>
        <w:t>二、部门</w:t>
      </w:r>
      <w:r w:rsidRPr="00C25ED2">
        <w:rPr>
          <w:rFonts w:ascii="宋体" w:eastAsia="宋体" w:hAnsi="宋体" w:cs="楷体" w:hint="eastAsia"/>
          <w:sz w:val="24"/>
          <w:szCs w:val="24"/>
        </w:rPr>
        <w:t>机构设置</w:t>
      </w:r>
      <w:r w:rsidRPr="00C25ED2">
        <w:rPr>
          <w:rFonts w:ascii="宋体" w:eastAsia="宋体" w:hAnsi="宋体" w:cs="楷体"/>
          <w:sz w:val="24"/>
          <w:szCs w:val="24"/>
        </w:rPr>
        <w:t>情况</w:t>
      </w:r>
      <w:r w:rsidRPr="00C25ED2">
        <w:rPr>
          <w:rFonts w:ascii="宋体" w:eastAsia="宋体" w:hAnsi="宋体" w:cs="楷体" w:hint="eastAsia"/>
          <w:sz w:val="24"/>
          <w:szCs w:val="24"/>
        </w:rPr>
        <w:t>及重点工作</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hint="eastAsia"/>
          <w:sz w:val="24"/>
          <w:szCs w:val="24"/>
        </w:rPr>
        <w:t>三、部门基本情况</w:t>
      </w:r>
    </w:p>
    <w:p w:rsidR="00A930CF" w:rsidRPr="00C25ED2" w:rsidRDefault="00A930CF" w:rsidP="00A930CF">
      <w:pPr>
        <w:pStyle w:val="pMsoNormal"/>
        <w:spacing w:line="590" w:lineRule="atLeast"/>
        <w:jc w:val="left"/>
        <w:rPr>
          <w:rFonts w:ascii="宋体" w:eastAsia="宋体" w:hAnsi="宋体"/>
          <w:b/>
          <w:sz w:val="24"/>
          <w:szCs w:val="24"/>
        </w:rPr>
      </w:pPr>
      <w:r w:rsidRPr="00C25ED2">
        <w:rPr>
          <w:rFonts w:ascii="宋体" w:eastAsia="宋体" w:hAnsi="宋体" w:cs="黑体"/>
          <w:b/>
          <w:sz w:val="24"/>
          <w:szCs w:val="24"/>
        </w:rPr>
        <w:t>第二部分</w:t>
      </w:r>
      <w:r w:rsidRPr="00C25ED2">
        <w:rPr>
          <w:rFonts w:ascii="宋体" w:eastAsia="宋体" w:hAnsi="宋体" w:cs="Calibri"/>
          <w:b/>
          <w:sz w:val="24"/>
          <w:szCs w:val="24"/>
        </w:rPr>
        <w:t>  </w:t>
      </w:r>
      <w:r w:rsidRPr="00C25ED2">
        <w:rPr>
          <w:rFonts w:ascii="宋体" w:eastAsia="宋体" w:hAnsi="宋体" w:cs="黑体"/>
          <w:b/>
          <w:sz w:val="24"/>
          <w:szCs w:val="24"/>
        </w:rPr>
        <w:t>2019年度部门决算表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一、收入支出决算总表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二、收入决算表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三、支出决算表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四、财政拨款收入支出决算总表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五、一般公共预算财政拨款收入支出决算表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六、一般公共预算财政拨款基本支出决算表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七、政府性基金预算财政拨款收入支出决算表</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八、</w:t>
      </w:r>
      <w:r w:rsidRPr="00C25ED2">
        <w:rPr>
          <w:rFonts w:ascii="宋体" w:eastAsia="宋体" w:hAnsi="宋体" w:cs="Times New Roman"/>
          <w:sz w:val="24"/>
          <w:szCs w:val="24"/>
        </w:rPr>
        <w:t>“</w:t>
      </w:r>
      <w:r w:rsidRPr="00C25ED2">
        <w:rPr>
          <w:rFonts w:ascii="宋体" w:eastAsia="宋体" w:hAnsi="宋体" w:cs="楷体"/>
          <w:sz w:val="24"/>
          <w:szCs w:val="24"/>
        </w:rPr>
        <w:t>三公</w:t>
      </w:r>
      <w:r w:rsidRPr="00C25ED2">
        <w:rPr>
          <w:rFonts w:ascii="宋体" w:eastAsia="宋体" w:hAnsi="宋体" w:cs="Times New Roman"/>
          <w:sz w:val="24"/>
          <w:szCs w:val="24"/>
        </w:rPr>
        <w:t>”</w:t>
      </w:r>
      <w:r w:rsidRPr="00C25ED2">
        <w:rPr>
          <w:rFonts w:ascii="宋体" w:eastAsia="宋体" w:hAnsi="宋体" w:cs="楷体"/>
          <w:sz w:val="24"/>
          <w:szCs w:val="24"/>
        </w:rPr>
        <w:t>经费、行政参公单位机关运行经费情况表</w:t>
      </w:r>
    </w:p>
    <w:p w:rsidR="00A930CF" w:rsidRPr="00C25ED2" w:rsidRDefault="00A930CF" w:rsidP="00A930CF">
      <w:pPr>
        <w:pStyle w:val="pMsoNormal"/>
        <w:spacing w:line="590" w:lineRule="atLeast"/>
        <w:jc w:val="left"/>
        <w:rPr>
          <w:rFonts w:ascii="宋体" w:eastAsia="宋体" w:hAnsi="宋体"/>
          <w:b/>
          <w:sz w:val="24"/>
          <w:szCs w:val="24"/>
        </w:rPr>
      </w:pPr>
      <w:r w:rsidRPr="00C25ED2">
        <w:rPr>
          <w:rFonts w:ascii="宋体" w:eastAsia="宋体" w:hAnsi="宋体" w:cs="黑体"/>
          <w:b/>
          <w:sz w:val="24"/>
          <w:szCs w:val="24"/>
        </w:rPr>
        <w:t>第三部分</w:t>
      </w:r>
      <w:r w:rsidRPr="00C25ED2">
        <w:rPr>
          <w:rFonts w:ascii="宋体" w:eastAsia="宋体" w:hAnsi="宋体" w:cs="Calibri"/>
          <w:b/>
          <w:sz w:val="24"/>
          <w:szCs w:val="24"/>
        </w:rPr>
        <w:t>  </w:t>
      </w:r>
      <w:r w:rsidRPr="00C25ED2">
        <w:rPr>
          <w:rFonts w:ascii="宋体" w:eastAsia="宋体" w:hAnsi="宋体" w:cs="黑体"/>
          <w:b/>
          <w:sz w:val="24"/>
          <w:szCs w:val="24"/>
        </w:rPr>
        <w:t>2019年度部门决算情况说明</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一、收入决算情况说明</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二、支出决算情况说明</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三、一般公共预算财政拨款支出决算情况说明</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sz w:val="24"/>
          <w:szCs w:val="24"/>
        </w:rPr>
        <w:t>四、一般公共预算财政拨款</w:t>
      </w:r>
      <w:r w:rsidRPr="00C25ED2">
        <w:rPr>
          <w:rFonts w:ascii="宋体" w:eastAsia="宋体" w:hAnsi="宋体" w:cs="Times New Roman"/>
          <w:sz w:val="24"/>
          <w:szCs w:val="24"/>
        </w:rPr>
        <w:t>“</w:t>
      </w:r>
      <w:r w:rsidRPr="00C25ED2">
        <w:rPr>
          <w:rFonts w:ascii="宋体" w:eastAsia="宋体" w:hAnsi="宋体" w:cs="楷体"/>
          <w:sz w:val="24"/>
          <w:szCs w:val="24"/>
        </w:rPr>
        <w:t>三公</w:t>
      </w:r>
      <w:r w:rsidRPr="00C25ED2">
        <w:rPr>
          <w:rFonts w:ascii="宋体" w:eastAsia="宋体" w:hAnsi="宋体" w:cs="Times New Roman"/>
          <w:sz w:val="24"/>
          <w:szCs w:val="24"/>
        </w:rPr>
        <w:t>”</w:t>
      </w:r>
      <w:r w:rsidRPr="00C25ED2">
        <w:rPr>
          <w:rFonts w:ascii="宋体" w:eastAsia="宋体" w:hAnsi="宋体" w:cs="楷体"/>
          <w:sz w:val="24"/>
          <w:szCs w:val="24"/>
        </w:rPr>
        <w:t>经费支出决算情况说明</w:t>
      </w:r>
    </w:p>
    <w:p w:rsidR="00A930CF" w:rsidRPr="00C25ED2" w:rsidRDefault="00A930CF" w:rsidP="00A930CF">
      <w:pPr>
        <w:pStyle w:val="pMsoNormal"/>
        <w:spacing w:line="590" w:lineRule="atLeast"/>
        <w:jc w:val="left"/>
        <w:rPr>
          <w:rFonts w:ascii="宋体" w:eastAsia="宋体" w:hAnsi="宋体"/>
          <w:b/>
          <w:sz w:val="24"/>
          <w:szCs w:val="24"/>
        </w:rPr>
      </w:pPr>
      <w:r w:rsidRPr="00C25ED2">
        <w:rPr>
          <w:rFonts w:ascii="宋体" w:eastAsia="宋体" w:hAnsi="宋体" w:cs="黑体"/>
          <w:b/>
          <w:sz w:val="24"/>
          <w:szCs w:val="24"/>
        </w:rPr>
        <w:t>第四部分</w:t>
      </w:r>
      <w:r w:rsidRPr="00C25ED2">
        <w:rPr>
          <w:rFonts w:ascii="宋体" w:eastAsia="宋体" w:hAnsi="宋体" w:cs="Calibri"/>
          <w:b/>
          <w:sz w:val="24"/>
          <w:szCs w:val="24"/>
        </w:rPr>
        <w:t>  </w:t>
      </w:r>
      <w:r w:rsidRPr="00C25ED2">
        <w:rPr>
          <w:rFonts w:ascii="宋体" w:eastAsia="宋体" w:hAnsi="宋体" w:cs="黑体"/>
          <w:b/>
          <w:sz w:val="24"/>
          <w:szCs w:val="24"/>
        </w:rPr>
        <w:t>其他重要事项及相关口径情况说明</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hint="eastAsia"/>
          <w:sz w:val="24"/>
          <w:szCs w:val="24"/>
        </w:rPr>
        <w:t>一、2019年度项目支出自评报告</w:t>
      </w:r>
    </w:p>
    <w:p w:rsidR="00A930CF" w:rsidRPr="00C25ED2" w:rsidRDefault="00A930CF" w:rsidP="00A930CF">
      <w:pPr>
        <w:pStyle w:val="pMsoNormal"/>
        <w:spacing w:line="590" w:lineRule="atLeast"/>
        <w:jc w:val="left"/>
        <w:rPr>
          <w:rFonts w:ascii="宋体" w:eastAsia="宋体" w:hAnsi="宋体"/>
          <w:sz w:val="24"/>
          <w:szCs w:val="24"/>
        </w:rPr>
      </w:pPr>
      <w:r w:rsidRPr="00C25ED2">
        <w:rPr>
          <w:rFonts w:ascii="宋体" w:eastAsia="宋体" w:hAnsi="宋体" w:cs="楷体" w:hint="eastAsia"/>
          <w:sz w:val="24"/>
          <w:szCs w:val="24"/>
        </w:rPr>
        <w:t>二</w:t>
      </w:r>
      <w:r w:rsidRPr="00C25ED2">
        <w:rPr>
          <w:rFonts w:ascii="宋体" w:eastAsia="宋体" w:hAnsi="宋体" w:cs="楷体"/>
          <w:sz w:val="24"/>
          <w:szCs w:val="24"/>
        </w:rPr>
        <w:t>、相关口</w:t>
      </w:r>
      <w:r w:rsidRPr="00C25ED2">
        <w:rPr>
          <w:rFonts w:ascii="宋体" w:eastAsia="宋体" w:hAnsi="宋体" w:cs="楷体" w:hint="eastAsia"/>
          <w:sz w:val="24"/>
          <w:szCs w:val="24"/>
        </w:rPr>
        <w:t>径</w:t>
      </w:r>
      <w:r w:rsidRPr="00C25ED2">
        <w:rPr>
          <w:rFonts w:ascii="宋体" w:eastAsia="宋体" w:hAnsi="宋体" w:cs="楷体"/>
          <w:sz w:val="24"/>
          <w:szCs w:val="24"/>
        </w:rPr>
        <w:t>说明</w:t>
      </w:r>
    </w:p>
    <w:p w:rsidR="00A930CF" w:rsidRPr="00C25ED2" w:rsidRDefault="00A930CF" w:rsidP="00A930CF">
      <w:pPr>
        <w:pStyle w:val="pMsoNormal"/>
        <w:spacing w:line="590" w:lineRule="atLeast"/>
        <w:jc w:val="left"/>
        <w:rPr>
          <w:rFonts w:ascii="宋体" w:eastAsia="宋体" w:hAnsi="宋体" w:cs="黑体"/>
          <w:b/>
          <w:sz w:val="24"/>
          <w:szCs w:val="24"/>
        </w:rPr>
      </w:pPr>
      <w:r w:rsidRPr="00C25ED2">
        <w:rPr>
          <w:rFonts w:ascii="宋体" w:eastAsia="宋体" w:hAnsi="宋体" w:cs="黑体"/>
          <w:b/>
          <w:sz w:val="24"/>
          <w:szCs w:val="24"/>
        </w:rPr>
        <w:t>第五部分</w:t>
      </w:r>
      <w:r w:rsidRPr="00C25ED2">
        <w:rPr>
          <w:rFonts w:ascii="宋体" w:eastAsia="宋体" w:hAnsi="宋体" w:cs="Calibri"/>
          <w:b/>
          <w:sz w:val="24"/>
          <w:szCs w:val="24"/>
        </w:rPr>
        <w:t>  </w:t>
      </w:r>
      <w:r w:rsidRPr="00C25ED2">
        <w:rPr>
          <w:rFonts w:ascii="宋体" w:eastAsia="宋体" w:hAnsi="宋体" w:cs="黑体"/>
          <w:b/>
          <w:sz w:val="24"/>
          <w:szCs w:val="24"/>
        </w:rPr>
        <w:t>名词解释</w:t>
      </w:r>
    </w:p>
    <w:p w:rsidR="00C25ED2" w:rsidRDefault="00C25ED2" w:rsidP="00A930CF">
      <w:pPr>
        <w:pStyle w:val="pMsoNormal"/>
        <w:spacing w:line="590" w:lineRule="atLeast"/>
        <w:jc w:val="center"/>
        <w:rPr>
          <w:rFonts w:ascii="黑体" w:eastAsia="黑体" w:hAnsi="黑体" w:cs="黑体"/>
          <w:sz w:val="32"/>
          <w:szCs w:val="32"/>
        </w:rPr>
      </w:pPr>
    </w:p>
    <w:p w:rsidR="00A930CF" w:rsidRPr="00495CB5" w:rsidRDefault="00A930CF" w:rsidP="00A930CF">
      <w:pPr>
        <w:pStyle w:val="pMsoNormal"/>
        <w:spacing w:line="590" w:lineRule="atLeast"/>
        <w:jc w:val="center"/>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第一部分</w:t>
      </w:r>
      <w:r w:rsidRPr="00495CB5">
        <w:rPr>
          <w:rFonts w:asciiTheme="minorEastAsia" w:eastAsiaTheme="minorEastAsia" w:hAnsiTheme="minorEastAsia" w:cs="Calibri"/>
          <w:b/>
          <w:sz w:val="30"/>
          <w:szCs w:val="30"/>
        </w:rPr>
        <w:t>  </w:t>
      </w:r>
      <w:r w:rsidRPr="00495CB5">
        <w:rPr>
          <w:rFonts w:asciiTheme="minorEastAsia" w:eastAsiaTheme="minorEastAsia" w:hAnsiTheme="minorEastAsia" w:cs="黑体"/>
          <w:b/>
          <w:sz w:val="30"/>
          <w:szCs w:val="30"/>
        </w:rPr>
        <w:t>云南省</w:t>
      </w:r>
      <w:r w:rsidRPr="00495CB5">
        <w:rPr>
          <w:rFonts w:asciiTheme="minorEastAsia" w:eastAsiaTheme="minorEastAsia" w:hAnsiTheme="minorEastAsia" w:cs="黑体" w:hint="eastAsia"/>
          <w:b/>
          <w:sz w:val="30"/>
          <w:szCs w:val="30"/>
        </w:rPr>
        <w:t>第二人民医院</w:t>
      </w:r>
      <w:r w:rsidRPr="00495CB5">
        <w:rPr>
          <w:rFonts w:asciiTheme="minorEastAsia" w:eastAsiaTheme="minorEastAsia" w:hAnsiTheme="minorEastAsia" w:cs="黑体"/>
          <w:b/>
          <w:sz w:val="30"/>
          <w:szCs w:val="30"/>
        </w:rPr>
        <w:t>概况</w:t>
      </w:r>
    </w:p>
    <w:p w:rsidR="00A930CF" w:rsidRPr="00495CB5" w:rsidRDefault="00A930CF" w:rsidP="00A930CF">
      <w:pPr>
        <w:pStyle w:val="pMsoNormal"/>
        <w:spacing w:line="590" w:lineRule="atLeast"/>
        <w:ind w:firstLine="600"/>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一、主要职</w:t>
      </w:r>
      <w:r w:rsidRPr="00495CB5">
        <w:rPr>
          <w:rFonts w:asciiTheme="minorEastAsia" w:eastAsiaTheme="minorEastAsia" w:hAnsiTheme="minorEastAsia" w:cs="黑体" w:hint="eastAsia"/>
          <w:b/>
          <w:sz w:val="30"/>
          <w:szCs w:val="30"/>
        </w:rPr>
        <w:t>责</w:t>
      </w:r>
    </w:p>
    <w:p w:rsidR="00A930CF" w:rsidRPr="00C25ED2" w:rsidRDefault="00A930CF" w:rsidP="00A930CF">
      <w:pPr>
        <w:spacing w:line="360" w:lineRule="auto"/>
        <w:ind w:firstLineChars="200" w:firstLine="600"/>
        <w:rPr>
          <w:rFonts w:asciiTheme="minorEastAsia" w:eastAsiaTheme="minorEastAsia" w:hAnsiTheme="minorEastAsia" w:cs="仿宋_GB2312"/>
          <w:sz w:val="30"/>
          <w:szCs w:val="30"/>
        </w:rPr>
      </w:pPr>
      <w:r w:rsidRPr="00C25ED2">
        <w:rPr>
          <w:rFonts w:asciiTheme="minorEastAsia" w:eastAsiaTheme="minorEastAsia" w:hAnsiTheme="minorEastAsia" w:cs="仿宋_GB2312" w:hint="eastAsia"/>
          <w:sz w:val="30"/>
          <w:szCs w:val="30"/>
        </w:rPr>
        <w:t>云南省第二人民医院暨云南省红十字会医院始建于1928年，原名万国红十字会昆明分会医院，1938年抗战期间作为南迁来昆的上海同济大学医学部教学医院。医院秉承“人道、博爱、奉献”的传统，以“关爱生命，患者至上”为医院的宗旨和核心价值追求，定位于“服务优质、特色鲜明、专长突出、综合全面”，现已成为一所集医疗、教学、科研、健康保健为一体的省级现代化三级甲等综合医院。</w:t>
      </w:r>
    </w:p>
    <w:p w:rsidR="00A930CF" w:rsidRPr="00C25ED2" w:rsidRDefault="00A930CF" w:rsidP="00A930CF">
      <w:pPr>
        <w:spacing w:line="360" w:lineRule="auto"/>
        <w:ind w:firstLineChars="200" w:firstLine="602"/>
        <w:rPr>
          <w:rFonts w:asciiTheme="minorEastAsia" w:eastAsiaTheme="minorEastAsia" w:hAnsiTheme="minorEastAsia" w:cs="仿宋_GB2312"/>
          <w:b/>
          <w:sz w:val="30"/>
          <w:szCs w:val="30"/>
        </w:rPr>
      </w:pPr>
      <w:r w:rsidRPr="00C25ED2">
        <w:rPr>
          <w:rFonts w:asciiTheme="minorEastAsia" w:eastAsiaTheme="minorEastAsia" w:hAnsiTheme="minorEastAsia" w:cs="仿宋_GB2312" w:hint="eastAsia"/>
          <w:b/>
          <w:sz w:val="30"/>
          <w:szCs w:val="30"/>
        </w:rPr>
        <w:t>二、机构设置情况及重点工作</w:t>
      </w:r>
    </w:p>
    <w:p w:rsidR="00A930CF" w:rsidRPr="00C25ED2" w:rsidRDefault="00A930CF" w:rsidP="00A930CF">
      <w:pPr>
        <w:pStyle w:val="pMsoNormal"/>
        <w:spacing w:line="590" w:lineRule="atLeast"/>
        <w:ind w:firstLineChars="200" w:firstLine="600"/>
        <w:jc w:val="left"/>
        <w:rPr>
          <w:rFonts w:asciiTheme="minorEastAsia" w:eastAsiaTheme="minorEastAsia" w:hAnsiTheme="minorEastAsia"/>
          <w:sz w:val="30"/>
          <w:szCs w:val="30"/>
        </w:rPr>
      </w:pPr>
      <w:r w:rsidRPr="00C25ED2">
        <w:rPr>
          <w:rFonts w:asciiTheme="minorEastAsia" w:eastAsiaTheme="minorEastAsia" w:hAnsiTheme="minorEastAsia" w:cs="楷体"/>
          <w:sz w:val="30"/>
          <w:szCs w:val="30"/>
        </w:rPr>
        <w:t>（</w:t>
      </w:r>
      <w:r w:rsidRPr="00C25ED2">
        <w:rPr>
          <w:rFonts w:asciiTheme="minorEastAsia" w:eastAsiaTheme="minorEastAsia" w:hAnsiTheme="minorEastAsia" w:cs="楷体" w:hint="eastAsia"/>
          <w:sz w:val="30"/>
          <w:szCs w:val="30"/>
        </w:rPr>
        <w:t>一</w:t>
      </w:r>
      <w:r w:rsidRPr="00C25ED2">
        <w:rPr>
          <w:rFonts w:asciiTheme="minorEastAsia" w:eastAsiaTheme="minorEastAsia" w:hAnsiTheme="minorEastAsia" w:cs="楷体"/>
          <w:sz w:val="30"/>
          <w:szCs w:val="30"/>
        </w:rPr>
        <w:t>）</w:t>
      </w:r>
      <w:r w:rsidRPr="00C25ED2">
        <w:rPr>
          <w:rFonts w:asciiTheme="minorEastAsia" w:eastAsiaTheme="minorEastAsia" w:hAnsiTheme="minorEastAsia" w:cs="楷体" w:hint="eastAsia"/>
          <w:b/>
          <w:sz w:val="30"/>
          <w:szCs w:val="30"/>
        </w:rPr>
        <w:t>机构设置情况</w:t>
      </w:r>
    </w:p>
    <w:p w:rsidR="00A930CF" w:rsidRPr="00C25ED2" w:rsidRDefault="00A930CF" w:rsidP="00A930CF">
      <w:pPr>
        <w:spacing w:line="360" w:lineRule="auto"/>
        <w:ind w:firstLineChars="200" w:firstLine="600"/>
        <w:rPr>
          <w:rFonts w:asciiTheme="minorEastAsia" w:eastAsiaTheme="minorEastAsia" w:hAnsiTheme="minorEastAsia"/>
          <w:sz w:val="30"/>
          <w:szCs w:val="30"/>
        </w:rPr>
      </w:pPr>
      <w:r w:rsidRPr="00C25ED2">
        <w:rPr>
          <w:rFonts w:asciiTheme="minorEastAsia" w:eastAsiaTheme="minorEastAsia" w:hAnsiTheme="minorEastAsia" w:hint="eastAsia"/>
          <w:sz w:val="30"/>
          <w:szCs w:val="30"/>
        </w:rPr>
        <w:t>医院学科设置齐全，共有52个临床医技科室，现有普通外科、康复医学科2个国家级临床重点建设专科建设项目。我院是国家药物临床试验机构，目前有4个国家级培训基地（国家住院医师规范化培训基地、国家全科医师临床培训基地、内镜与微创医学消化科培训基地、冠心病介入诊疗技术培训基地）；6个省级临床重点专科建设项目（眼科、内分泌科、重症医学科、骨科〈创伤外科〉、神经外科、产科）；2个省院共建临床重点专科建设项目（消化内镜专业、血管外科）；2个省级重点专科培育项目（疼痛科、口腔正畸科）；4个云南省医疗质量控制中心（云南省眼科疾病诊疗质量控制中心、云南省康复医疗质量控制中心、</w:t>
      </w:r>
      <w:r w:rsidRPr="00C25ED2">
        <w:rPr>
          <w:rFonts w:asciiTheme="minorEastAsia" w:eastAsiaTheme="minorEastAsia" w:hAnsiTheme="minorEastAsia" w:hint="eastAsia"/>
          <w:sz w:val="30"/>
          <w:szCs w:val="30"/>
        </w:rPr>
        <w:lastRenderedPageBreak/>
        <w:t>云南省疼痛医疗质量控制中心、云南省健康体检质量控制中心）；4个云南省专家工作站(超声医学的胡兵专家工作站、干细胞研究的徐俊专家工作站、眼科学的姚克专家工作站、肝胆胰外科的王曙光专家工作站)；8个省级临床中心和基地（云南省干部体检中心、云南省远程医疗会诊中心、云南省中毒临床救治基地、云南省中西医结合第二临床研究基地、云南省腹部外科中心、云南省消化超声内镜中心、云南省血管外科中心、云南省创伤救治中心）。</w:t>
      </w:r>
    </w:p>
    <w:p w:rsidR="00A930CF" w:rsidRPr="00C25ED2" w:rsidRDefault="00A930CF" w:rsidP="00A930CF">
      <w:pPr>
        <w:spacing w:line="360" w:lineRule="auto"/>
        <w:ind w:firstLineChars="200" w:firstLine="600"/>
        <w:rPr>
          <w:rFonts w:asciiTheme="minorEastAsia" w:eastAsiaTheme="minorEastAsia" w:hAnsiTheme="minorEastAsia"/>
          <w:sz w:val="30"/>
          <w:szCs w:val="30"/>
        </w:rPr>
      </w:pPr>
      <w:r w:rsidRPr="00C25ED2">
        <w:rPr>
          <w:rFonts w:asciiTheme="minorEastAsia" w:eastAsiaTheme="minorEastAsia" w:hAnsiTheme="minorEastAsia" w:hint="eastAsia"/>
          <w:sz w:val="30"/>
          <w:szCs w:val="30"/>
        </w:rPr>
        <w:t>医院现有2个云南省科技创新团队（病毒性肝炎及相关肝病省创新团队、云南省白内障及眼底病防治研究创新团队）；1个云南省重点实验室（云南省眼病防治研究重点实验室）。设有中国科学院昆明动物研究所——云南省第二人民医院医学联合实验室；5个云南省卫生计生委内设研究机构（云南省眼科研究所、云南省病毒性肝炎研究中心、云南省牙病防治研究中心、云南省神经康复研究中心、云南省腹部微创外科研究中心）。</w:t>
      </w:r>
    </w:p>
    <w:p w:rsidR="00A930CF" w:rsidRPr="00C25ED2" w:rsidRDefault="00A930CF" w:rsidP="00A930CF">
      <w:pPr>
        <w:widowControl/>
        <w:ind w:firstLineChars="200" w:firstLine="602"/>
        <w:jc w:val="left"/>
        <w:rPr>
          <w:rFonts w:asciiTheme="minorEastAsia" w:eastAsiaTheme="minorEastAsia" w:hAnsiTheme="minorEastAsia"/>
          <w:b/>
          <w:kern w:val="0"/>
          <w:sz w:val="30"/>
          <w:szCs w:val="30"/>
        </w:rPr>
      </w:pPr>
      <w:r w:rsidRPr="00C25ED2">
        <w:rPr>
          <w:rFonts w:asciiTheme="minorEastAsia" w:eastAsiaTheme="minorEastAsia" w:hAnsiTheme="minorEastAsia"/>
          <w:b/>
          <w:kern w:val="0"/>
          <w:sz w:val="30"/>
          <w:szCs w:val="30"/>
        </w:rPr>
        <w:t>（</w:t>
      </w:r>
      <w:r w:rsidRPr="00C25ED2">
        <w:rPr>
          <w:rFonts w:asciiTheme="minorEastAsia" w:eastAsiaTheme="minorEastAsia" w:hAnsiTheme="minorEastAsia" w:hint="eastAsia"/>
          <w:b/>
          <w:kern w:val="0"/>
          <w:sz w:val="30"/>
          <w:szCs w:val="30"/>
        </w:rPr>
        <w:t>二</w:t>
      </w:r>
      <w:r w:rsidRPr="00C25ED2">
        <w:rPr>
          <w:rFonts w:asciiTheme="minorEastAsia" w:eastAsiaTheme="minorEastAsia" w:hAnsiTheme="minorEastAsia"/>
          <w:b/>
          <w:kern w:val="0"/>
          <w:sz w:val="30"/>
          <w:szCs w:val="30"/>
        </w:rPr>
        <w:t>）重点工作概述</w:t>
      </w:r>
    </w:p>
    <w:p w:rsidR="00A930CF" w:rsidRPr="00C25ED2" w:rsidRDefault="00A930CF" w:rsidP="00A930CF">
      <w:pPr>
        <w:ind w:firstLineChars="200" w:firstLine="600"/>
        <w:rPr>
          <w:rFonts w:asciiTheme="minorEastAsia" w:eastAsiaTheme="minorEastAsia" w:hAnsiTheme="minorEastAsia" w:cs="仿宋_GB2312"/>
          <w:sz w:val="30"/>
          <w:szCs w:val="30"/>
        </w:rPr>
      </w:pPr>
      <w:r w:rsidRPr="00C25ED2">
        <w:rPr>
          <w:rFonts w:asciiTheme="minorEastAsia" w:eastAsiaTheme="minorEastAsia" w:hAnsiTheme="minorEastAsia" w:cs="仿宋_GB2312" w:hint="eastAsia"/>
          <w:kern w:val="0"/>
          <w:sz w:val="30"/>
          <w:szCs w:val="30"/>
        </w:rPr>
        <w:t>指令性任务：健康扶贫工作成绩突出，获迪庆州2019</w:t>
      </w:r>
      <w:r w:rsidRPr="00C25ED2">
        <w:rPr>
          <w:rFonts w:asciiTheme="minorEastAsia" w:eastAsiaTheme="minorEastAsia" w:hAnsiTheme="minorEastAsia" w:cs="仿宋_GB2312" w:hint="eastAsia"/>
          <w:sz w:val="30"/>
          <w:szCs w:val="30"/>
        </w:rPr>
        <w:t>年脱贫攻坚“挂包帮”先进单位，1名 “优秀驻村工作队员”；基层帮扶中，在受援医院接诊患者19549人次、住院患者12868人次、开展教学培训35人次、免费接受进修155人次、指导基层开展适宜技术31项；援外工作，医院赴缅甸圆满完成294例白内障手术治疗工作；完成危重孕产妇救治工作，接诊转诊危重孕产妇</w:t>
      </w:r>
      <w:r w:rsidRPr="00C25ED2">
        <w:rPr>
          <w:rFonts w:asciiTheme="minorEastAsia" w:eastAsiaTheme="minorEastAsia" w:hAnsiTheme="minorEastAsia" w:cs="仿宋_GB2312" w:hint="eastAsia"/>
          <w:sz w:val="30"/>
          <w:szCs w:val="30"/>
        </w:rPr>
        <w:lastRenderedPageBreak/>
        <w:t>178人，医院被省卫健委推荐为2019年度国家级母婴安全优质服务4家单位之一。</w:t>
      </w:r>
    </w:p>
    <w:p w:rsidR="00A930CF" w:rsidRPr="00C25ED2" w:rsidRDefault="00A930CF" w:rsidP="00A930CF">
      <w:pPr>
        <w:ind w:firstLineChars="200" w:firstLine="600"/>
        <w:rPr>
          <w:rFonts w:asciiTheme="minorEastAsia" w:eastAsiaTheme="minorEastAsia" w:hAnsiTheme="minorEastAsia" w:cs="仿宋_GB2312"/>
          <w:sz w:val="30"/>
          <w:szCs w:val="30"/>
        </w:rPr>
      </w:pPr>
      <w:r w:rsidRPr="00C25ED2">
        <w:rPr>
          <w:rFonts w:asciiTheme="minorEastAsia" w:eastAsiaTheme="minorEastAsia" w:hAnsiTheme="minorEastAsia" w:cs="仿宋_GB2312" w:hint="eastAsia"/>
          <w:sz w:val="30"/>
          <w:szCs w:val="30"/>
        </w:rPr>
        <w:t>坚持公益性：组织参与2019年“服务百姓健康行动”全国大型义诊活动，义诊患者1200余人次，免费发放各种健康宣传资料 2000余册。继续开展“助医助学献爱心活动”。 到云南省老干部活动中心开展“敬老爱民献爱心送健康”义诊活动。与嫣然天使基金合作，开展对云南省唇腭裂患者的诊治公益活动，共筛查唇腭裂患者69名，完成手术39例。开展健康教育，获2019年五华区全民健康生活方式行动“健康单位”。</w:t>
      </w:r>
    </w:p>
    <w:p w:rsidR="00A930CF" w:rsidRPr="00C25ED2" w:rsidRDefault="00A930CF" w:rsidP="00A930CF">
      <w:pPr>
        <w:ind w:firstLineChars="200" w:firstLine="600"/>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医学中心和质控中心建设：</w:t>
      </w:r>
      <w:r w:rsidRPr="00C25ED2">
        <w:rPr>
          <w:rFonts w:asciiTheme="minorEastAsia" w:eastAsiaTheme="minorEastAsia" w:hAnsiTheme="minorEastAsia" w:cs="仿宋_GB2312" w:hint="eastAsia"/>
          <w:sz w:val="30"/>
          <w:szCs w:val="30"/>
        </w:rPr>
        <w:t>医院召开了年度省级临床医学中心工作部署会，先后组织召开3次专题协调会，推进医院眼科疾病临床医学中心、康复医学临床医学中心、内分泌与代谢性疾病临床医学中心建设工作，定期督查，督促项目承担科室按照建设规划开展工作。</w:t>
      </w:r>
    </w:p>
    <w:p w:rsidR="00A930CF" w:rsidRPr="00C25ED2" w:rsidRDefault="00A930CF" w:rsidP="00A930CF">
      <w:pPr>
        <w:ind w:firstLineChars="200" w:firstLine="600"/>
        <w:rPr>
          <w:rFonts w:asciiTheme="minorEastAsia" w:eastAsiaTheme="minorEastAsia" w:hAnsiTheme="minorEastAsia" w:cs="仿宋_GB2312"/>
          <w:sz w:val="30"/>
          <w:szCs w:val="30"/>
        </w:rPr>
      </w:pPr>
      <w:r w:rsidRPr="00C25ED2">
        <w:rPr>
          <w:rFonts w:asciiTheme="minorEastAsia" w:eastAsiaTheme="minorEastAsia" w:hAnsiTheme="minorEastAsia" w:cs="仿宋_GB2312" w:hint="eastAsia"/>
          <w:sz w:val="30"/>
          <w:szCs w:val="30"/>
        </w:rPr>
        <w:t>医院被授予“中国创伤救治培训基地”。医院成立创伤中心建设项目领导小组，落实云南省创伤中心建设工作。完成了对29家县级医院进行创伤中心建设培训，并对12家组织培训会的医院进行了现场指导、提出建设意见，创伤中心建设工作取得阶段性的成效。</w:t>
      </w:r>
    </w:p>
    <w:p w:rsidR="00A930CF" w:rsidRPr="00C25ED2" w:rsidRDefault="00A930CF" w:rsidP="00A930CF">
      <w:pPr>
        <w:ind w:firstLineChars="200" w:firstLine="600"/>
        <w:rPr>
          <w:rFonts w:asciiTheme="minorEastAsia" w:eastAsiaTheme="minorEastAsia" w:hAnsiTheme="minorEastAsia" w:cs="仿宋_GB2312"/>
          <w:sz w:val="30"/>
          <w:szCs w:val="30"/>
        </w:rPr>
      </w:pPr>
      <w:r w:rsidRPr="00C25ED2">
        <w:rPr>
          <w:rFonts w:asciiTheme="minorEastAsia" w:eastAsiaTheme="minorEastAsia" w:hAnsiTheme="minorEastAsia" w:cs="仿宋_GB2312" w:hint="eastAsia"/>
          <w:sz w:val="30"/>
          <w:szCs w:val="30"/>
        </w:rPr>
        <w:t>医院成为国家感染性疾病临床医学研究中心“网络合作单位”。对标国家标准全力推进胸痛中心及卒中中心建设工作。通过了年度省级临床重点专科建设项目督导及绩效评价。4个医疗</w:t>
      </w:r>
      <w:r w:rsidRPr="00C25ED2">
        <w:rPr>
          <w:rFonts w:asciiTheme="minorEastAsia" w:eastAsiaTheme="minorEastAsia" w:hAnsiTheme="minorEastAsia" w:cs="仿宋_GB2312" w:hint="eastAsia"/>
          <w:sz w:val="30"/>
          <w:szCs w:val="30"/>
        </w:rPr>
        <w:lastRenderedPageBreak/>
        <w:t>质量中心建立医疗质量控制体系，落实医疗质控工作任务。</w:t>
      </w:r>
    </w:p>
    <w:p w:rsidR="00A930CF" w:rsidRPr="00C25ED2" w:rsidRDefault="00A930CF" w:rsidP="00A930CF">
      <w:pPr>
        <w:shd w:val="clear" w:color="auto" w:fill="FFFFFF"/>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医联体工作：医联体现有10个专科联盟，双向转诊取得实效，2019年转入我院患者约4200人；转回基层近500人；免费为联盟单位287 人的医务人员提供进修。</w:t>
      </w:r>
    </w:p>
    <w:p w:rsidR="00A930CF" w:rsidRPr="00C25ED2" w:rsidRDefault="00A930CF" w:rsidP="00A930CF">
      <w:pPr>
        <w:shd w:val="clear" w:color="auto" w:fill="FFFFFF"/>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医疗质量与安全：围绕医疗重点工作，强化监督和考核，认真落实各项规章制度和诊疗常规。将临床路径入径率纳入责任目标绩效考核。依法执业管理，完成了761名医师、58名规培医师信息核查，审批准入新技术33项，成立了全科医学科，对医疗纠纷和纠纷隐患病例做到了早介入、早处理，未发生恶性事件。重视基础质量，落实过程管理，提升优质护理服务品质，2019年患者对护理工作的满意度为97.68%。</w:t>
      </w:r>
    </w:p>
    <w:p w:rsidR="00A930CF" w:rsidRPr="00C25ED2" w:rsidRDefault="00A930CF" w:rsidP="00A930CF">
      <w:pPr>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医院感染控制：以案为鉴，开展落实医院感染预防与控制，开展全覆盖督导检查，加强医院感染管理实战演练，多举措扼制医院感染聚集性发作事件，加强医院感染管理的监管及督导检查、加强重点环节的管理、医院感染管理监测、提高医务人员的医院感染能力建设。</w:t>
      </w:r>
    </w:p>
    <w:p w:rsidR="00A930CF" w:rsidRPr="00C25ED2" w:rsidRDefault="00A930CF" w:rsidP="00A930CF">
      <w:pPr>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科研教学工作：申报各级各类科研课题共计135项；31项科研基金获批准立项；科技成果登记10项；申报2019年云南省科学技术奖5项；申报2018年云南省卫生科技成果奖11项；2018年度获云南省科技进步三等奖1项。重视临床技能中心建设及管理；组织了三次“三基三严”培训，通过率100%。</w:t>
      </w:r>
    </w:p>
    <w:p w:rsidR="00A930CF" w:rsidRPr="00C25ED2" w:rsidRDefault="00A930CF" w:rsidP="00A930CF">
      <w:pPr>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人才培养和学科建设：建立和培养高素质的人才队伍。12</w:t>
      </w:r>
      <w:r w:rsidRPr="00C25ED2">
        <w:rPr>
          <w:rFonts w:asciiTheme="minorEastAsia" w:eastAsiaTheme="minorEastAsia" w:hAnsiTheme="minorEastAsia" w:cs="仿宋_GB2312" w:hint="eastAsia"/>
          <w:kern w:val="0"/>
          <w:sz w:val="30"/>
          <w:szCs w:val="30"/>
        </w:rPr>
        <w:lastRenderedPageBreak/>
        <w:t>人遴选为2018年度云南省高层次卫生健康技术人才，1人遴选为2019年度云南省中青学术和技术带头人后备人才，1人遴选为2019年度昆明市中青年学术和技术带头人后备人。医院现有3个云南省院士专家工作站。</w:t>
      </w:r>
    </w:p>
    <w:p w:rsidR="00A930CF" w:rsidRPr="00C25ED2" w:rsidRDefault="00A930CF" w:rsidP="00A930CF">
      <w:pPr>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行政管理：坚持职代会制度，坚持院务公开，坚持依法治院。修订完善《党委议事规则》《院长办公会议事规则》《医院规章制度汇编》；制定了《云南省第二人民医院章程》。稳健推进医院绩效管理及经济运行分析，保障医院平稳运行。严格预算执行，专项资金的使用和监管，2019年1-11月收入预算执行率为95.40%，2019年1-11月支出预算执行率为81.14%。医院施行新的政府会计制度，完成了按科室核算的目标。顺利完成第三轮医院单位岗位设置聘用工作，规范合同制用工管理。完成了新HIS系统住院部上线工作，全年共完成远程会诊省内881例，省外57例。</w:t>
      </w:r>
    </w:p>
    <w:p w:rsidR="00A930CF" w:rsidRPr="00C25ED2" w:rsidRDefault="00A930CF" w:rsidP="00A930CF">
      <w:pPr>
        <w:ind w:firstLineChars="200" w:firstLine="600"/>
        <w:contextualSpacing/>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医保运行工作：积极配合政府付费制度改革政策的落实，加快医保政策的运行。医院被评为“2018—2019年度全国医院医疗保险服务规范先进单位”。</w:t>
      </w:r>
    </w:p>
    <w:p w:rsidR="00A930CF" w:rsidRPr="00C25ED2" w:rsidRDefault="00A930CF" w:rsidP="00A930CF">
      <w:pPr>
        <w:ind w:firstLine="630"/>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党风廉政建设：落实全面从严治党“两个责任”，夯实全面从严治党思想政治基础，旗帜鲜明地做到“两个维护”，坚决贯彻上级各项决策部署，令行禁止。开展“不忘初心、牢记使命”主题教育；落实中央八项规定</w:t>
      </w:r>
      <w:r w:rsidR="00581F32">
        <w:rPr>
          <w:rFonts w:asciiTheme="minorEastAsia" w:eastAsiaTheme="minorEastAsia" w:hAnsiTheme="minorEastAsia" w:cs="仿宋_GB2312" w:hint="eastAsia"/>
          <w:kern w:val="0"/>
          <w:sz w:val="30"/>
          <w:szCs w:val="30"/>
        </w:rPr>
        <w:t>及其实施细则</w:t>
      </w:r>
      <w:r w:rsidRPr="00C25ED2">
        <w:rPr>
          <w:rFonts w:asciiTheme="minorEastAsia" w:eastAsiaTheme="minorEastAsia" w:hAnsiTheme="minorEastAsia" w:cs="仿宋_GB2312" w:hint="eastAsia"/>
          <w:kern w:val="0"/>
          <w:sz w:val="30"/>
          <w:szCs w:val="30"/>
        </w:rPr>
        <w:t>精神，持之以恒纠“四风”；通过法治学习，警示教育，加强作风行风建设。开展了的</w:t>
      </w:r>
      <w:r w:rsidRPr="00C25ED2">
        <w:rPr>
          <w:rFonts w:asciiTheme="minorEastAsia" w:eastAsiaTheme="minorEastAsia" w:hAnsiTheme="minorEastAsia" w:cs="仿宋_GB2312" w:hint="eastAsia"/>
          <w:kern w:val="0"/>
          <w:sz w:val="30"/>
          <w:szCs w:val="30"/>
        </w:rPr>
        <w:lastRenderedPageBreak/>
        <w:t>医疗行业不正之风清理整治专项行动及“回头看”工作。</w:t>
      </w:r>
    </w:p>
    <w:p w:rsidR="00A930CF" w:rsidRPr="00C25ED2" w:rsidRDefault="00A930CF" w:rsidP="00A930CF">
      <w:pPr>
        <w:ind w:firstLine="630"/>
        <w:rPr>
          <w:rFonts w:asciiTheme="minorEastAsia" w:eastAsiaTheme="minorEastAsia" w:hAnsiTheme="minorEastAsia" w:cs="仿宋_GB2312"/>
          <w:kern w:val="0"/>
          <w:sz w:val="30"/>
          <w:szCs w:val="30"/>
        </w:rPr>
      </w:pPr>
      <w:r w:rsidRPr="00C25ED2">
        <w:rPr>
          <w:rFonts w:asciiTheme="minorEastAsia" w:eastAsiaTheme="minorEastAsia" w:hAnsiTheme="minorEastAsia" w:cs="仿宋_GB2312" w:hint="eastAsia"/>
          <w:kern w:val="0"/>
          <w:sz w:val="30"/>
          <w:szCs w:val="30"/>
        </w:rPr>
        <w:t xml:space="preserve">做好云南省中西医结合医院工作全面托管工作：2019年8月，根据省卫健委党组决定，医院托管省中西医结合医院。韦嘉院长及省中西医结合医院党政班子对医院目前的情况进行全面的调研分析，初步确定了省中西医结合医院建设发展思路，调动了全院干部职工的工作积极性。 </w:t>
      </w:r>
    </w:p>
    <w:p w:rsidR="00A930CF" w:rsidRPr="00495CB5" w:rsidRDefault="00A930CF" w:rsidP="00A930CF">
      <w:pPr>
        <w:pStyle w:val="pMsoNormal"/>
        <w:spacing w:line="590" w:lineRule="atLeast"/>
        <w:ind w:firstLine="600"/>
        <w:rPr>
          <w:rFonts w:asciiTheme="minorEastAsia" w:eastAsiaTheme="minorEastAsia" w:hAnsiTheme="minorEastAsia"/>
          <w:b/>
          <w:sz w:val="30"/>
          <w:szCs w:val="30"/>
        </w:rPr>
      </w:pPr>
      <w:r w:rsidRPr="00495CB5">
        <w:rPr>
          <w:rFonts w:asciiTheme="minorEastAsia" w:eastAsiaTheme="minorEastAsia" w:hAnsiTheme="minorEastAsia" w:cs="黑体" w:hint="eastAsia"/>
          <w:b/>
          <w:sz w:val="30"/>
          <w:szCs w:val="30"/>
        </w:rPr>
        <w:t>三</w:t>
      </w:r>
      <w:r w:rsidRPr="00495CB5">
        <w:rPr>
          <w:rFonts w:asciiTheme="minorEastAsia" w:eastAsiaTheme="minorEastAsia" w:hAnsiTheme="minorEastAsia" w:cs="黑体"/>
          <w:b/>
          <w:sz w:val="30"/>
          <w:szCs w:val="30"/>
        </w:rPr>
        <w:t>、部门基本情况</w:t>
      </w:r>
    </w:p>
    <w:p w:rsidR="00A930CF" w:rsidRPr="00C25ED2" w:rsidRDefault="00A930CF" w:rsidP="00A930CF">
      <w:pPr>
        <w:widowControl/>
        <w:ind w:firstLineChars="200" w:firstLine="600"/>
        <w:jc w:val="left"/>
        <w:rPr>
          <w:rFonts w:asciiTheme="minorEastAsia" w:eastAsiaTheme="minorEastAsia" w:hAnsiTheme="minorEastAsia"/>
          <w:kern w:val="0"/>
          <w:sz w:val="30"/>
          <w:szCs w:val="30"/>
        </w:rPr>
      </w:pPr>
      <w:r w:rsidRPr="00C25ED2">
        <w:rPr>
          <w:rFonts w:asciiTheme="minorEastAsia" w:eastAsiaTheme="minorEastAsia" w:hAnsiTheme="minorEastAsia"/>
          <w:kern w:val="0"/>
          <w:sz w:val="30"/>
          <w:szCs w:val="30"/>
        </w:rPr>
        <w:t>截止</w:t>
      </w:r>
      <w:r w:rsidRPr="00C25ED2">
        <w:rPr>
          <w:rFonts w:asciiTheme="minorEastAsia" w:eastAsiaTheme="minorEastAsia" w:hAnsiTheme="minorEastAsia" w:hint="eastAsia"/>
          <w:kern w:val="0"/>
          <w:sz w:val="30"/>
          <w:szCs w:val="30"/>
        </w:rPr>
        <w:t>2019</w:t>
      </w:r>
      <w:r w:rsidRPr="00C25ED2">
        <w:rPr>
          <w:rFonts w:asciiTheme="minorEastAsia" w:eastAsiaTheme="minorEastAsia" w:hAnsiTheme="minorEastAsia"/>
          <w:kern w:val="0"/>
          <w:sz w:val="30"/>
          <w:szCs w:val="30"/>
        </w:rPr>
        <w:t>年1</w:t>
      </w:r>
      <w:r w:rsidRPr="00C25ED2">
        <w:rPr>
          <w:rFonts w:asciiTheme="minorEastAsia" w:eastAsiaTheme="minorEastAsia" w:hAnsiTheme="minorEastAsia" w:hint="eastAsia"/>
          <w:kern w:val="0"/>
          <w:sz w:val="30"/>
          <w:szCs w:val="30"/>
        </w:rPr>
        <w:t>2</w:t>
      </w:r>
      <w:r w:rsidRPr="00C25ED2">
        <w:rPr>
          <w:rFonts w:asciiTheme="minorEastAsia" w:eastAsiaTheme="minorEastAsia" w:hAnsiTheme="minorEastAsia"/>
          <w:kern w:val="0"/>
          <w:sz w:val="30"/>
          <w:szCs w:val="30"/>
        </w:rPr>
        <w:t>月统计，部门基本情况如下：</w:t>
      </w:r>
    </w:p>
    <w:p w:rsidR="00A930CF" w:rsidRPr="00C25ED2" w:rsidRDefault="00A930CF" w:rsidP="00A930CF">
      <w:pPr>
        <w:widowControl/>
        <w:ind w:firstLineChars="200" w:firstLine="600"/>
        <w:jc w:val="left"/>
        <w:rPr>
          <w:rFonts w:asciiTheme="minorEastAsia" w:eastAsiaTheme="minorEastAsia" w:hAnsiTheme="minorEastAsia"/>
          <w:kern w:val="0"/>
          <w:sz w:val="30"/>
          <w:szCs w:val="30"/>
        </w:rPr>
      </w:pPr>
      <w:r w:rsidRPr="00C25ED2">
        <w:rPr>
          <w:rFonts w:asciiTheme="minorEastAsia" w:eastAsiaTheme="minorEastAsia" w:hAnsiTheme="minorEastAsia"/>
          <w:kern w:val="0"/>
          <w:sz w:val="30"/>
          <w:szCs w:val="30"/>
        </w:rPr>
        <w:t>在职人员编制</w:t>
      </w:r>
      <w:r w:rsidRPr="00C25ED2">
        <w:rPr>
          <w:rFonts w:asciiTheme="minorEastAsia" w:eastAsiaTheme="minorEastAsia" w:hAnsiTheme="minorEastAsia" w:hint="eastAsia"/>
          <w:kern w:val="0"/>
          <w:sz w:val="30"/>
          <w:szCs w:val="30"/>
        </w:rPr>
        <w:t>1275</w:t>
      </w:r>
      <w:r w:rsidRPr="00C25ED2">
        <w:rPr>
          <w:rFonts w:asciiTheme="minorEastAsia" w:eastAsiaTheme="minorEastAsia" w:hAnsiTheme="minorEastAsia"/>
          <w:kern w:val="0"/>
          <w:sz w:val="30"/>
          <w:szCs w:val="30"/>
        </w:rPr>
        <w:t xml:space="preserve">人，其中：行政编制 </w:t>
      </w:r>
      <w:r w:rsidRPr="00C25ED2">
        <w:rPr>
          <w:rFonts w:asciiTheme="minorEastAsia" w:eastAsiaTheme="minorEastAsia" w:hAnsiTheme="minorEastAsia" w:hint="eastAsia"/>
          <w:kern w:val="0"/>
          <w:sz w:val="30"/>
          <w:szCs w:val="30"/>
        </w:rPr>
        <w:t>0</w:t>
      </w:r>
      <w:r w:rsidRPr="00C25ED2">
        <w:rPr>
          <w:rFonts w:asciiTheme="minorEastAsia" w:eastAsiaTheme="minorEastAsia" w:hAnsiTheme="minorEastAsia"/>
          <w:kern w:val="0"/>
          <w:sz w:val="30"/>
          <w:szCs w:val="30"/>
        </w:rPr>
        <w:t>人，事业编制</w:t>
      </w:r>
      <w:r w:rsidRPr="00C25ED2">
        <w:rPr>
          <w:rFonts w:asciiTheme="minorEastAsia" w:eastAsiaTheme="minorEastAsia" w:hAnsiTheme="minorEastAsia" w:hint="eastAsia"/>
          <w:kern w:val="0"/>
          <w:sz w:val="30"/>
          <w:szCs w:val="30"/>
        </w:rPr>
        <w:t>1275</w:t>
      </w:r>
      <w:r w:rsidRPr="00C25ED2">
        <w:rPr>
          <w:rFonts w:asciiTheme="minorEastAsia" w:eastAsiaTheme="minorEastAsia" w:hAnsiTheme="minorEastAsia"/>
          <w:kern w:val="0"/>
          <w:sz w:val="30"/>
          <w:szCs w:val="30"/>
        </w:rPr>
        <w:t>人。在职实有</w:t>
      </w:r>
      <w:r w:rsidRPr="00C25ED2">
        <w:rPr>
          <w:rFonts w:asciiTheme="minorEastAsia" w:eastAsiaTheme="minorEastAsia" w:hAnsiTheme="minorEastAsia" w:hint="eastAsia"/>
          <w:kern w:val="0"/>
          <w:sz w:val="30"/>
          <w:szCs w:val="30"/>
        </w:rPr>
        <w:t>1192</w:t>
      </w:r>
      <w:r w:rsidRPr="00C25ED2">
        <w:rPr>
          <w:rFonts w:asciiTheme="minorEastAsia" w:eastAsiaTheme="minorEastAsia" w:hAnsiTheme="minorEastAsia"/>
          <w:kern w:val="0"/>
          <w:sz w:val="30"/>
          <w:szCs w:val="30"/>
        </w:rPr>
        <w:t xml:space="preserve">人，其中： 财政全供养 </w:t>
      </w:r>
      <w:r w:rsidRPr="00C25ED2">
        <w:rPr>
          <w:rFonts w:asciiTheme="minorEastAsia" w:eastAsiaTheme="minorEastAsia" w:hAnsiTheme="minorEastAsia" w:hint="eastAsia"/>
          <w:kern w:val="0"/>
          <w:sz w:val="30"/>
          <w:szCs w:val="30"/>
        </w:rPr>
        <w:t>0</w:t>
      </w:r>
      <w:r w:rsidRPr="00C25ED2">
        <w:rPr>
          <w:rFonts w:asciiTheme="minorEastAsia" w:eastAsiaTheme="minorEastAsia" w:hAnsiTheme="minorEastAsia"/>
          <w:kern w:val="0"/>
          <w:sz w:val="30"/>
          <w:szCs w:val="30"/>
        </w:rPr>
        <w:t>人，财政部分供养</w:t>
      </w:r>
      <w:r w:rsidRPr="00C25ED2">
        <w:rPr>
          <w:rFonts w:asciiTheme="minorEastAsia" w:eastAsiaTheme="minorEastAsia" w:hAnsiTheme="minorEastAsia" w:hint="eastAsia"/>
          <w:kern w:val="0"/>
          <w:sz w:val="30"/>
          <w:szCs w:val="30"/>
        </w:rPr>
        <w:t>1192</w:t>
      </w:r>
      <w:r w:rsidRPr="00C25ED2">
        <w:rPr>
          <w:rFonts w:asciiTheme="minorEastAsia" w:eastAsiaTheme="minorEastAsia" w:hAnsiTheme="minorEastAsia"/>
          <w:kern w:val="0"/>
          <w:sz w:val="30"/>
          <w:szCs w:val="30"/>
        </w:rPr>
        <w:t>人，非财政供养</w:t>
      </w:r>
      <w:r w:rsidRPr="00C25ED2">
        <w:rPr>
          <w:rFonts w:asciiTheme="minorEastAsia" w:eastAsiaTheme="minorEastAsia" w:hAnsiTheme="minorEastAsia" w:hint="eastAsia"/>
          <w:kern w:val="0"/>
          <w:sz w:val="30"/>
          <w:szCs w:val="30"/>
        </w:rPr>
        <w:t>0</w:t>
      </w:r>
      <w:r w:rsidRPr="00C25ED2">
        <w:rPr>
          <w:rFonts w:asciiTheme="minorEastAsia" w:eastAsiaTheme="minorEastAsia" w:hAnsiTheme="minorEastAsia"/>
          <w:kern w:val="0"/>
          <w:sz w:val="30"/>
          <w:szCs w:val="30"/>
        </w:rPr>
        <w:t>人。</w:t>
      </w:r>
    </w:p>
    <w:p w:rsidR="00A930CF" w:rsidRPr="00C25ED2" w:rsidRDefault="00A930CF" w:rsidP="00A930CF">
      <w:pPr>
        <w:widowControl/>
        <w:ind w:firstLineChars="200" w:firstLine="600"/>
        <w:jc w:val="left"/>
        <w:rPr>
          <w:rFonts w:asciiTheme="minorEastAsia" w:eastAsiaTheme="minorEastAsia" w:hAnsiTheme="minorEastAsia"/>
          <w:kern w:val="0"/>
          <w:sz w:val="30"/>
          <w:szCs w:val="30"/>
        </w:rPr>
      </w:pPr>
      <w:r w:rsidRPr="00C25ED2">
        <w:rPr>
          <w:rFonts w:asciiTheme="minorEastAsia" w:eastAsiaTheme="minorEastAsia" w:hAnsiTheme="minorEastAsia"/>
          <w:kern w:val="0"/>
          <w:sz w:val="30"/>
          <w:szCs w:val="30"/>
        </w:rPr>
        <w:t xml:space="preserve">离退休人员 </w:t>
      </w:r>
      <w:r w:rsidRPr="00C25ED2">
        <w:rPr>
          <w:rFonts w:asciiTheme="minorEastAsia" w:eastAsiaTheme="minorEastAsia" w:hAnsiTheme="minorEastAsia" w:hint="eastAsia"/>
          <w:kern w:val="0"/>
          <w:sz w:val="30"/>
          <w:szCs w:val="30"/>
        </w:rPr>
        <w:t>461</w:t>
      </w:r>
      <w:r w:rsidRPr="00C25ED2">
        <w:rPr>
          <w:rFonts w:asciiTheme="minorEastAsia" w:eastAsiaTheme="minorEastAsia" w:hAnsiTheme="minorEastAsia"/>
          <w:kern w:val="0"/>
          <w:sz w:val="30"/>
          <w:szCs w:val="30"/>
        </w:rPr>
        <w:t xml:space="preserve">人，其中： 离休 </w:t>
      </w:r>
      <w:r w:rsidRPr="00C25ED2">
        <w:rPr>
          <w:rFonts w:asciiTheme="minorEastAsia" w:eastAsiaTheme="minorEastAsia" w:hAnsiTheme="minorEastAsia" w:hint="eastAsia"/>
          <w:kern w:val="0"/>
          <w:sz w:val="30"/>
          <w:szCs w:val="30"/>
        </w:rPr>
        <w:t>9</w:t>
      </w:r>
      <w:r w:rsidRPr="00C25ED2">
        <w:rPr>
          <w:rFonts w:asciiTheme="minorEastAsia" w:eastAsiaTheme="minorEastAsia" w:hAnsiTheme="minorEastAsia"/>
          <w:kern w:val="0"/>
          <w:sz w:val="30"/>
          <w:szCs w:val="30"/>
        </w:rPr>
        <w:t xml:space="preserve">人，退休 </w:t>
      </w:r>
      <w:r w:rsidRPr="00C25ED2">
        <w:rPr>
          <w:rFonts w:asciiTheme="minorEastAsia" w:eastAsiaTheme="minorEastAsia" w:hAnsiTheme="minorEastAsia" w:hint="eastAsia"/>
          <w:kern w:val="0"/>
          <w:sz w:val="30"/>
          <w:szCs w:val="30"/>
        </w:rPr>
        <w:t>452</w:t>
      </w:r>
      <w:r w:rsidRPr="00C25ED2">
        <w:rPr>
          <w:rFonts w:asciiTheme="minorEastAsia" w:eastAsiaTheme="minorEastAsia" w:hAnsiTheme="minorEastAsia"/>
          <w:kern w:val="0"/>
          <w:sz w:val="30"/>
          <w:szCs w:val="30"/>
        </w:rPr>
        <w:t>人。</w:t>
      </w:r>
    </w:p>
    <w:p w:rsidR="00A930CF" w:rsidRPr="00C25ED2" w:rsidRDefault="00A930CF" w:rsidP="00A930CF">
      <w:pPr>
        <w:widowControl/>
        <w:ind w:firstLineChars="200" w:firstLine="600"/>
        <w:jc w:val="left"/>
        <w:rPr>
          <w:rFonts w:asciiTheme="minorEastAsia" w:eastAsiaTheme="minorEastAsia" w:hAnsiTheme="minorEastAsia"/>
          <w:kern w:val="0"/>
          <w:sz w:val="30"/>
          <w:szCs w:val="30"/>
        </w:rPr>
      </w:pPr>
      <w:r w:rsidRPr="00C25ED2">
        <w:rPr>
          <w:rFonts w:asciiTheme="minorEastAsia" w:eastAsiaTheme="minorEastAsia" w:hAnsiTheme="minorEastAsia"/>
          <w:kern w:val="0"/>
          <w:sz w:val="30"/>
          <w:szCs w:val="30"/>
        </w:rPr>
        <w:t>车辆编制</w:t>
      </w:r>
      <w:r w:rsidRPr="00C25ED2">
        <w:rPr>
          <w:rFonts w:asciiTheme="minorEastAsia" w:eastAsiaTheme="minorEastAsia" w:hAnsiTheme="minorEastAsia" w:hint="eastAsia"/>
          <w:kern w:val="0"/>
          <w:sz w:val="30"/>
          <w:szCs w:val="30"/>
        </w:rPr>
        <w:t>14</w:t>
      </w:r>
      <w:r w:rsidRPr="00C25ED2">
        <w:rPr>
          <w:rFonts w:asciiTheme="minorEastAsia" w:eastAsiaTheme="minorEastAsia" w:hAnsiTheme="minorEastAsia"/>
          <w:kern w:val="0"/>
          <w:sz w:val="30"/>
          <w:szCs w:val="30"/>
        </w:rPr>
        <w:t>辆，实有车辆</w:t>
      </w:r>
      <w:r w:rsidRPr="00C25ED2">
        <w:rPr>
          <w:rFonts w:asciiTheme="minorEastAsia" w:eastAsiaTheme="minorEastAsia" w:hAnsiTheme="minorEastAsia" w:hint="eastAsia"/>
          <w:kern w:val="0"/>
          <w:sz w:val="30"/>
          <w:szCs w:val="30"/>
        </w:rPr>
        <w:t>7</w:t>
      </w:r>
      <w:r w:rsidRPr="00C25ED2">
        <w:rPr>
          <w:rFonts w:asciiTheme="minorEastAsia" w:eastAsiaTheme="minorEastAsia" w:hAnsiTheme="minorEastAsia"/>
          <w:kern w:val="0"/>
          <w:sz w:val="30"/>
          <w:szCs w:val="30"/>
        </w:rPr>
        <w:t>辆。</w:t>
      </w:r>
    </w:p>
    <w:p w:rsidR="00A930CF" w:rsidRPr="00C25ED2" w:rsidRDefault="00A930CF" w:rsidP="00A930CF">
      <w:pPr>
        <w:widowControl/>
        <w:ind w:firstLineChars="200" w:firstLine="600"/>
        <w:jc w:val="left"/>
        <w:rPr>
          <w:rFonts w:asciiTheme="minorEastAsia" w:eastAsiaTheme="minorEastAsia" w:hAnsiTheme="minorEastAsia"/>
          <w:kern w:val="0"/>
          <w:sz w:val="30"/>
          <w:szCs w:val="30"/>
        </w:rPr>
      </w:pPr>
    </w:p>
    <w:p w:rsidR="00A930CF" w:rsidRPr="00495CB5" w:rsidRDefault="00A930CF" w:rsidP="00A930CF">
      <w:pPr>
        <w:pStyle w:val="pMsoNormal"/>
        <w:spacing w:line="590" w:lineRule="atLeast"/>
        <w:jc w:val="center"/>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第二部分</w:t>
      </w:r>
      <w:r w:rsidRPr="00495CB5">
        <w:rPr>
          <w:rFonts w:asciiTheme="minorEastAsia" w:eastAsiaTheme="minorEastAsia" w:hAnsiTheme="minorEastAsia" w:cs="Calibri"/>
          <w:b/>
          <w:sz w:val="30"/>
          <w:szCs w:val="30"/>
        </w:rPr>
        <w:t>  </w:t>
      </w:r>
      <w:r w:rsidRPr="00495CB5">
        <w:rPr>
          <w:rFonts w:asciiTheme="minorEastAsia" w:eastAsiaTheme="minorEastAsia" w:hAnsiTheme="minorEastAsia" w:cs="黑体"/>
          <w:b/>
          <w:sz w:val="30"/>
          <w:szCs w:val="30"/>
        </w:rPr>
        <w:t>2019年度部门决算表</w:t>
      </w:r>
    </w:p>
    <w:p w:rsidR="00A930CF" w:rsidRPr="00C25ED2" w:rsidRDefault="00A930CF" w:rsidP="00A930CF">
      <w:pPr>
        <w:pStyle w:val="pMsoNormal"/>
        <w:spacing w:line="590" w:lineRule="atLeast"/>
        <w:jc w:val="center"/>
        <w:rPr>
          <w:rFonts w:asciiTheme="minorEastAsia" w:eastAsiaTheme="minorEastAsia" w:hAnsiTheme="minorEastAsia" w:cs="仿宋"/>
          <w:sz w:val="30"/>
          <w:szCs w:val="30"/>
        </w:rPr>
      </w:pPr>
      <w:r w:rsidRPr="00C25ED2">
        <w:rPr>
          <w:rFonts w:asciiTheme="minorEastAsia" w:eastAsiaTheme="minorEastAsia" w:hAnsiTheme="minorEastAsia" w:cs="仿宋"/>
          <w:sz w:val="30"/>
          <w:szCs w:val="30"/>
        </w:rPr>
        <w:t>（详见附件）</w:t>
      </w:r>
    </w:p>
    <w:p w:rsidR="00A930CF" w:rsidRPr="00C25ED2" w:rsidRDefault="00A930CF" w:rsidP="00A930CF">
      <w:pPr>
        <w:pStyle w:val="pMsoNormal"/>
        <w:spacing w:line="590" w:lineRule="atLeast"/>
        <w:jc w:val="center"/>
        <w:rPr>
          <w:rFonts w:asciiTheme="minorEastAsia" w:eastAsiaTheme="minorEastAsia" w:hAnsiTheme="minorEastAsia" w:cs="仿宋"/>
          <w:sz w:val="30"/>
          <w:szCs w:val="30"/>
        </w:rPr>
      </w:pPr>
    </w:p>
    <w:p w:rsidR="00A930CF" w:rsidRPr="00495CB5" w:rsidRDefault="00A930CF" w:rsidP="00A930CF">
      <w:pPr>
        <w:pStyle w:val="pMsoNormal"/>
        <w:spacing w:line="590" w:lineRule="atLeast"/>
        <w:jc w:val="center"/>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第三部分</w:t>
      </w:r>
      <w:r w:rsidRPr="00495CB5">
        <w:rPr>
          <w:rFonts w:asciiTheme="minorEastAsia" w:eastAsiaTheme="minorEastAsia" w:hAnsiTheme="minorEastAsia" w:cs="Calibri"/>
          <w:b/>
          <w:sz w:val="30"/>
          <w:szCs w:val="30"/>
        </w:rPr>
        <w:t>  </w:t>
      </w:r>
      <w:r w:rsidRPr="00495CB5">
        <w:rPr>
          <w:rFonts w:asciiTheme="minorEastAsia" w:eastAsiaTheme="minorEastAsia" w:hAnsiTheme="minorEastAsia" w:cs="黑体"/>
          <w:b/>
          <w:sz w:val="30"/>
          <w:szCs w:val="30"/>
        </w:rPr>
        <w:t>2019年度部门决算情况说明</w:t>
      </w:r>
    </w:p>
    <w:p w:rsidR="00A930CF" w:rsidRPr="00495CB5" w:rsidRDefault="00A930CF" w:rsidP="00A930CF">
      <w:pPr>
        <w:pStyle w:val="pMsoNormal"/>
        <w:spacing w:line="590" w:lineRule="atLeast"/>
        <w:ind w:firstLine="600"/>
        <w:jc w:val="left"/>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一、收入决算情况说明</w:t>
      </w:r>
    </w:p>
    <w:p w:rsidR="00A930CF" w:rsidRPr="00C25ED2" w:rsidRDefault="00A930CF" w:rsidP="00016069">
      <w:pPr>
        <w:spacing w:line="360" w:lineRule="auto"/>
        <w:ind w:firstLineChars="200" w:firstLine="600"/>
        <w:jc w:val="left"/>
        <w:rPr>
          <w:rFonts w:asciiTheme="minorEastAsia" w:eastAsiaTheme="minorEastAsia" w:hAnsiTheme="minorEastAsia" w:cs="仿宋_GB2312"/>
          <w:sz w:val="30"/>
          <w:szCs w:val="30"/>
        </w:rPr>
      </w:pPr>
      <w:r w:rsidRPr="00C25ED2">
        <w:rPr>
          <w:rFonts w:asciiTheme="minorEastAsia" w:eastAsiaTheme="minorEastAsia" w:hAnsiTheme="minorEastAsia" w:cs="仿宋"/>
          <w:sz w:val="30"/>
          <w:szCs w:val="30"/>
        </w:rPr>
        <w:t>云南省</w:t>
      </w:r>
      <w:r w:rsidRPr="00C25ED2">
        <w:rPr>
          <w:rFonts w:asciiTheme="minorEastAsia" w:eastAsiaTheme="minorEastAsia" w:hAnsiTheme="minorEastAsia" w:cs="仿宋" w:hint="eastAsia"/>
          <w:sz w:val="30"/>
          <w:szCs w:val="30"/>
        </w:rPr>
        <w:t>第二人民医院</w:t>
      </w:r>
      <w:r w:rsidRPr="00C25ED2">
        <w:rPr>
          <w:rFonts w:asciiTheme="minorEastAsia" w:eastAsiaTheme="minorEastAsia" w:hAnsiTheme="minorEastAsia" w:cs="仿宋"/>
          <w:sz w:val="30"/>
          <w:szCs w:val="30"/>
        </w:rPr>
        <w:t>2019年度收入合计</w:t>
      </w:r>
      <w:r w:rsidR="00AD4CF2" w:rsidRPr="00C25ED2">
        <w:rPr>
          <w:rFonts w:asciiTheme="minorEastAsia" w:eastAsiaTheme="minorEastAsia" w:hAnsiTheme="minorEastAsia" w:cs="仿宋_GB2312" w:hint="eastAsia"/>
          <w:sz w:val="30"/>
          <w:szCs w:val="30"/>
          <w:shd w:val="clear" w:color="auto" w:fill="FFFFFF"/>
        </w:rPr>
        <w:t>162</w:t>
      </w:r>
      <w:r w:rsidRPr="00C25ED2">
        <w:rPr>
          <w:rFonts w:asciiTheme="minorEastAsia" w:eastAsiaTheme="minorEastAsia" w:hAnsiTheme="minorEastAsia" w:cs="仿宋_GB2312" w:hint="eastAsia"/>
          <w:sz w:val="30"/>
          <w:szCs w:val="30"/>
          <w:shd w:val="clear" w:color="auto" w:fill="FFFFFF"/>
        </w:rPr>
        <w:t>,</w:t>
      </w:r>
      <w:r w:rsidR="00AD4CF2" w:rsidRPr="00C25ED2">
        <w:rPr>
          <w:rFonts w:asciiTheme="minorEastAsia" w:eastAsiaTheme="minorEastAsia" w:hAnsiTheme="minorEastAsia" w:cs="仿宋_GB2312" w:hint="eastAsia"/>
          <w:sz w:val="30"/>
          <w:szCs w:val="30"/>
          <w:shd w:val="clear" w:color="auto" w:fill="FFFFFF"/>
        </w:rPr>
        <w:t>664</w:t>
      </w:r>
      <w:r w:rsidRPr="00C25ED2">
        <w:rPr>
          <w:rFonts w:asciiTheme="minorEastAsia" w:eastAsiaTheme="minorEastAsia" w:hAnsiTheme="minorEastAsia" w:cs="仿宋_GB2312" w:hint="eastAsia"/>
          <w:sz w:val="30"/>
          <w:szCs w:val="30"/>
          <w:shd w:val="clear" w:color="auto" w:fill="FFFFFF"/>
        </w:rPr>
        <w:t>.</w:t>
      </w:r>
      <w:r w:rsidR="00AD4CF2" w:rsidRPr="00C25ED2">
        <w:rPr>
          <w:rFonts w:asciiTheme="minorEastAsia" w:eastAsiaTheme="minorEastAsia" w:hAnsiTheme="minorEastAsia" w:cs="仿宋_GB2312" w:hint="eastAsia"/>
          <w:sz w:val="30"/>
          <w:szCs w:val="30"/>
          <w:shd w:val="clear" w:color="auto" w:fill="FFFFFF"/>
        </w:rPr>
        <w:t>98</w:t>
      </w:r>
      <w:r w:rsidRPr="00C25ED2">
        <w:rPr>
          <w:rFonts w:asciiTheme="minorEastAsia" w:eastAsiaTheme="minorEastAsia" w:hAnsiTheme="minorEastAsia" w:cs="仿宋"/>
          <w:sz w:val="30"/>
          <w:szCs w:val="30"/>
        </w:rPr>
        <w:t>万元。其中：财政拨款收入</w:t>
      </w:r>
      <w:r w:rsidRPr="00C25ED2">
        <w:rPr>
          <w:rFonts w:asciiTheme="minorEastAsia" w:eastAsiaTheme="minorEastAsia" w:hAnsiTheme="minorEastAsia" w:cs="仿宋_GB2312" w:hint="eastAsia"/>
          <w:sz w:val="30"/>
          <w:szCs w:val="30"/>
          <w:shd w:val="clear" w:color="auto" w:fill="FFFFFF"/>
        </w:rPr>
        <w:t>1</w:t>
      </w:r>
      <w:r w:rsidR="00AD4CF2" w:rsidRPr="00C25ED2">
        <w:rPr>
          <w:rFonts w:asciiTheme="minorEastAsia" w:eastAsiaTheme="minorEastAsia" w:hAnsiTheme="minorEastAsia" w:cs="仿宋_GB2312" w:hint="eastAsia"/>
          <w:sz w:val="30"/>
          <w:szCs w:val="30"/>
          <w:shd w:val="clear" w:color="auto" w:fill="FFFFFF"/>
        </w:rPr>
        <w:t>0,237.25</w:t>
      </w:r>
      <w:r w:rsidRPr="00C25ED2">
        <w:rPr>
          <w:rFonts w:asciiTheme="minorEastAsia" w:eastAsiaTheme="minorEastAsia" w:hAnsiTheme="minorEastAsia" w:cs="仿宋"/>
          <w:sz w:val="30"/>
          <w:szCs w:val="30"/>
        </w:rPr>
        <w:t>万元，占总收入的</w:t>
      </w:r>
      <w:r w:rsidR="008F4758" w:rsidRPr="00C25ED2">
        <w:rPr>
          <w:rFonts w:asciiTheme="minorEastAsia" w:eastAsiaTheme="minorEastAsia" w:hAnsiTheme="minorEastAsia" w:cs="仿宋" w:hint="eastAsia"/>
          <w:sz w:val="30"/>
          <w:szCs w:val="30"/>
        </w:rPr>
        <w:t>6</w:t>
      </w:r>
      <w:r w:rsidRPr="00C25ED2">
        <w:rPr>
          <w:rFonts w:asciiTheme="minorEastAsia" w:eastAsiaTheme="minorEastAsia" w:hAnsiTheme="minorEastAsia" w:cs="仿宋" w:hint="eastAsia"/>
          <w:sz w:val="30"/>
          <w:szCs w:val="30"/>
        </w:rPr>
        <w:t>.</w:t>
      </w:r>
      <w:r w:rsidR="008F4758" w:rsidRPr="00C25ED2">
        <w:rPr>
          <w:rFonts w:asciiTheme="minorEastAsia" w:eastAsiaTheme="minorEastAsia" w:hAnsiTheme="minorEastAsia" w:cs="仿宋" w:hint="eastAsia"/>
          <w:sz w:val="30"/>
          <w:szCs w:val="30"/>
        </w:rPr>
        <w:t>29</w:t>
      </w:r>
      <w:r w:rsidRPr="00C25ED2">
        <w:rPr>
          <w:rFonts w:asciiTheme="minorEastAsia" w:eastAsiaTheme="minorEastAsia" w:hAnsiTheme="minorEastAsia" w:cs="仿宋"/>
          <w:sz w:val="30"/>
          <w:szCs w:val="30"/>
        </w:rPr>
        <w:t>%；事业收入</w:t>
      </w:r>
      <w:r w:rsidRPr="00C25ED2">
        <w:rPr>
          <w:rFonts w:asciiTheme="minorEastAsia" w:eastAsiaTheme="minorEastAsia" w:hAnsiTheme="minorEastAsia" w:cs="仿宋_GB2312" w:hint="eastAsia"/>
          <w:sz w:val="30"/>
          <w:szCs w:val="30"/>
          <w:shd w:val="clear" w:color="auto" w:fill="FFFFFF"/>
        </w:rPr>
        <w:t>151,</w:t>
      </w:r>
      <w:r w:rsidR="00AD4CF2" w:rsidRPr="00C25ED2">
        <w:rPr>
          <w:rFonts w:asciiTheme="minorEastAsia" w:eastAsiaTheme="minorEastAsia" w:hAnsiTheme="minorEastAsia" w:cs="仿宋_GB2312" w:hint="eastAsia"/>
          <w:sz w:val="30"/>
          <w:szCs w:val="30"/>
          <w:shd w:val="clear" w:color="auto" w:fill="FFFFFF"/>
        </w:rPr>
        <w:t>189</w:t>
      </w:r>
      <w:r w:rsidRPr="00C25ED2">
        <w:rPr>
          <w:rFonts w:asciiTheme="minorEastAsia" w:eastAsiaTheme="minorEastAsia" w:hAnsiTheme="minorEastAsia" w:cs="仿宋_GB2312" w:hint="eastAsia"/>
          <w:sz w:val="30"/>
          <w:szCs w:val="30"/>
          <w:shd w:val="clear" w:color="auto" w:fill="FFFFFF"/>
        </w:rPr>
        <w:t>.26</w:t>
      </w:r>
      <w:r w:rsidRPr="00C25ED2">
        <w:rPr>
          <w:rFonts w:asciiTheme="minorEastAsia" w:eastAsiaTheme="minorEastAsia" w:hAnsiTheme="minorEastAsia" w:cs="仿宋"/>
          <w:sz w:val="30"/>
          <w:szCs w:val="30"/>
        </w:rPr>
        <w:t>万元，占总收入的</w:t>
      </w:r>
      <w:r w:rsidR="00AD4CF2" w:rsidRPr="00C25ED2">
        <w:rPr>
          <w:rFonts w:asciiTheme="minorEastAsia" w:eastAsiaTheme="minorEastAsia" w:hAnsiTheme="minorEastAsia" w:cs="仿宋" w:hint="eastAsia"/>
          <w:sz w:val="30"/>
          <w:szCs w:val="30"/>
        </w:rPr>
        <w:t>92</w:t>
      </w:r>
      <w:r w:rsidRPr="00C25ED2">
        <w:rPr>
          <w:rFonts w:asciiTheme="minorEastAsia" w:eastAsiaTheme="minorEastAsia" w:hAnsiTheme="minorEastAsia" w:cs="仿宋" w:hint="eastAsia"/>
          <w:sz w:val="30"/>
          <w:szCs w:val="30"/>
        </w:rPr>
        <w:t>.</w:t>
      </w:r>
      <w:r w:rsidR="00AD4CF2" w:rsidRPr="00C25ED2">
        <w:rPr>
          <w:rFonts w:asciiTheme="minorEastAsia" w:eastAsiaTheme="minorEastAsia" w:hAnsiTheme="minorEastAsia" w:cs="仿宋" w:hint="eastAsia"/>
          <w:sz w:val="30"/>
          <w:szCs w:val="30"/>
        </w:rPr>
        <w:t>95</w:t>
      </w:r>
      <w:r w:rsidRPr="00C25ED2">
        <w:rPr>
          <w:rFonts w:asciiTheme="minorEastAsia" w:eastAsiaTheme="minorEastAsia" w:hAnsiTheme="minorEastAsia" w:cs="仿宋"/>
          <w:sz w:val="30"/>
          <w:szCs w:val="30"/>
        </w:rPr>
        <w:t>%；其他收入</w:t>
      </w:r>
      <w:r w:rsidRPr="00C25ED2">
        <w:rPr>
          <w:rFonts w:asciiTheme="minorEastAsia" w:eastAsiaTheme="minorEastAsia" w:hAnsiTheme="minorEastAsia" w:cs="仿宋_GB2312" w:hint="eastAsia"/>
          <w:sz w:val="30"/>
          <w:szCs w:val="30"/>
          <w:shd w:val="clear" w:color="auto" w:fill="FFFFFF"/>
        </w:rPr>
        <w:t>1,238.48</w:t>
      </w:r>
      <w:r w:rsidRPr="00C25ED2">
        <w:rPr>
          <w:rFonts w:asciiTheme="minorEastAsia" w:eastAsiaTheme="minorEastAsia" w:hAnsiTheme="minorEastAsia" w:cs="仿宋"/>
          <w:sz w:val="30"/>
          <w:szCs w:val="30"/>
        </w:rPr>
        <w:lastRenderedPageBreak/>
        <w:t>万元，占总收入的</w:t>
      </w:r>
      <w:r w:rsidRPr="00C25ED2">
        <w:rPr>
          <w:rFonts w:asciiTheme="minorEastAsia" w:eastAsiaTheme="minorEastAsia" w:hAnsiTheme="minorEastAsia" w:cs="仿宋" w:hint="eastAsia"/>
          <w:sz w:val="30"/>
          <w:szCs w:val="30"/>
        </w:rPr>
        <w:t>0.7</w:t>
      </w:r>
      <w:r w:rsidR="008F4758" w:rsidRPr="00C25ED2">
        <w:rPr>
          <w:rFonts w:asciiTheme="minorEastAsia" w:eastAsiaTheme="minorEastAsia" w:hAnsiTheme="minorEastAsia" w:cs="仿宋" w:hint="eastAsia"/>
          <w:sz w:val="30"/>
          <w:szCs w:val="30"/>
        </w:rPr>
        <w:t>6</w:t>
      </w:r>
      <w:r w:rsidRPr="00C25ED2">
        <w:rPr>
          <w:rFonts w:asciiTheme="minorEastAsia" w:eastAsiaTheme="minorEastAsia" w:hAnsiTheme="minorEastAsia" w:cs="仿宋"/>
          <w:sz w:val="30"/>
          <w:szCs w:val="30"/>
        </w:rPr>
        <w:t>%。</w:t>
      </w:r>
      <w:r w:rsidRPr="00C25ED2">
        <w:rPr>
          <w:rFonts w:asciiTheme="minorEastAsia" w:eastAsiaTheme="minorEastAsia" w:hAnsiTheme="minorEastAsia" w:cs="仿宋" w:hint="eastAsia"/>
          <w:sz w:val="30"/>
          <w:szCs w:val="30"/>
        </w:rPr>
        <w:t>总收入较上年增长12.</w:t>
      </w:r>
      <w:r w:rsidR="008F4758" w:rsidRPr="00C25ED2">
        <w:rPr>
          <w:rFonts w:asciiTheme="minorEastAsia" w:eastAsiaTheme="minorEastAsia" w:hAnsiTheme="minorEastAsia" w:cs="仿宋" w:hint="eastAsia"/>
          <w:sz w:val="30"/>
          <w:szCs w:val="30"/>
        </w:rPr>
        <w:t>87</w:t>
      </w:r>
      <w:r w:rsidRPr="00C25ED2">
        <w:rPr>
          <w:rFonts w:asciiTheme="minorEastAsia" w:eastAsiaTheme="minorEastAsia" w:hAnsiTheme="minorEastAsia" w:cs="仿宋" w:hint="eastAsia"/>
          <w:sz w:val="30"/>
          <w:szCs w:val="30"/>
        </w:rPr>
        <w:t>%，其中：</w:t>
      </w:r>
      <w:r w:rsidRPr="00C25ED2">
        <w:rPr>
          <w:rFonts w:asciiTheme="minorEastAsia" w:eastAsiaTheme="minorEastAsia" w:hAnsiTheme="minorEastAsia" w:cs="仿宋"/>
          <w:sz w:val="30"/>
          <w:szCs w:val="30"/>
        </w:rPr>
        <w:t>财政拨款收入</w:t>
      </w:r>
      <w:r w:rsidRPr="00C25ED2">
        <w:rPr>
          <w:rFonts w:asciiTheme="minorEastAsia" w:eastAsiaTheme="minorEastAsia" w:hAnsiTheme="minorEastAsia" w:cs="仿宋" w:hint="eastAsia"/>
          <w:sz w:val="30"/>
          <w:szCs w:val="30"/>
        </w:rPr>
        <w:t>较上年增长</w:t>
      </w:r>
      <w:r w:rsidR="008F4758" w:rsidRPr="00C25ED2">
        <w:rPr>
          <w:rFonts w:asciiTheme="minorEastAsia" w:eastAsiaTheme="minorEastAsia" w:hAnsiTheme="minorEastAsia" w:cs="仿宋" w:hint="eastAsia"/>
          <w:sz w:val="30"/>
          <w:szCs w:val="30"/>
        </w:rPr>
        <w:t>21</w:t>
      </w:r>
      <w:r w:rsidRPr="00C25ED2">
        <w:rPr>
          <w:rFonts w:asciiTheme="minorEastAsia" w:eastAsiaTheme="minorEastAsia" w:hAnsiTheme="minorEastAsia" w:cs="仿宋" w:hint="eastAsia"/>
          <w:sz w:val="30"/>
          <w:szCs w:val="30"/>
        </w:rPr>
        <w:t>.</w:t>
      </w:r>
      <w:r w:rsidR="008F4758" w:rsidRPr="00C25ED2">
        <w:rPr>
          <w:rFonts w:asciiTheme="minorEastAsia" w:eastAsiaTheme="minorEastAsia" w:hAnsiTheme="minorEastAsia" w:cs="仿宋" w:hint="eastAsia"/>
          <w:sz w:val="30"/>
          <w:szCs w:val="30"/>
        </w:rPr>
        <w:t>79</w:t>
      </w:r>
      <w:r w:rsidRPr="00C25ED2">
        <w:rPr>
          <w:rFonts w:asciiTheme="minorEastAsia" w:eastAsiaTheme="minorEastAsia" w:hAnsiTheme="minorEastAsia" w:cs="仿宋" w:hint="eastAsia"/>
          <w:sz w:val="30"/>
          <w:szCs w:val="30"/>
        </w:rPr>
        <w:t>%，主要原因是：我院新增医学中心建设项目；</w:t>
      </w:r>
      <w:r w:rsidRPr="00C25ED2">
        <w:rPr>
          <w:rFonts w:asciiTheme="minorEastAsia" w:eastAsiaTheme="minorEastAsia" w:hAnsiTheme="minorEastAsia" w:cs="仿宋"/>
          <w:sz w:val="30"/>
          <w:szCs w:val="30"/>
        </w:rPr>
        <w:t>事业收入</w:t>
      </w:r>
      <w:r w:rsidRPr="00C25ED2">
        <w:rPr>
          <w:rFonts w:asciiTheme="minorEastAsia" w:eastAsiaTheme="minorEastAsia" w:hAnsiTheme="minorEastAsia" w:cs="仿宋" w:hint="eastAsia"/>
          <w:sz w:val="30"/>
          <w:szCs w:val="30"/>
        </w:rPr>
        <w:t>较上年增长12.9</w:t>
      </w:r>
      <w:r w:rsidR="008F4758" w:rsidRPr="00C25ED2">
        <w:rPr>
          <w:rFonts w:asciiTheme="minorEastAsia" w:eastAsiaTheme="minorEastAsia" w:hAnsiTheme="minorEastAsia" w:cs="仿宋" w:hint="eastAsia"/>
          <w:sz w:val="30"/>
          <w:szCs w:val="30"/>
        </w:rPr>
        <w:t>1</w:t>
      </w:r>
      <w:r w:rsidRPr="00C25ED2">
        <w:rPr>
          <w:rFonts w:asciiTheme="minorEastAsia" w:eastAsiaTheme="minorEastAsia" w:hAnsiTheme="minorEastAsia" w:cs="仿宋" w:hint="eastAsia"/>
          <w:sz w:val="30"/>
          <w:szCs w:val="30"/>
        </w:rPr>
        <w:t>%，主要原因是：</w:t>
      </w:r>
      <w:r w:rsidR="00016069" w:rsidRPr="00C25ED2">
        <w:rPr>
          <w:rFonts w:asciiTheme="minorEastAsia" w:eastAsiaTheme="minorEastAsia" w:hAnsiTheme="minorEastAsia" w:cs="仿宋_GB2312" w:hint="eastAsia"/>
          <w:sz w:val="30"/>
          <w:szCs w:val="30"/>
        </w:rPr>
        <w:t>取消药品加成的同时，对门诊挂号费、诊查费、检查费等费用收费标准做出了相应的调整，一定程度的弥补了医院的医疗收入</w:t>
      </w:r>
      <w:r w:rsidRPr="00C25ED2">
        <w:rPr>
          <w:rFonts w:asciiTheme="minorEastAsia" w:eastAsiaTheme="minorEastAsia" w:hAnsiTheme="minorEastAsia" w:cs="仿宋" w:hint="eastAsia"/>
          <w:sz w:val="30"/>
          <w:szCs w:val="30"/>
        </w:rPr>
        <w:t>；</w:t>
      </w:r>
      <w:r w:rsidRPr="00C25ED2">
        <w:rPr>
          <w:rFonts w:asciiTheme="minorEastAsia" w:eastAsiaTheme="minorEastAsia" w:hAnsiTheme="minorEastAsia" w:cs="仿宋"/>
          <w:sz w:val="30"/>
          <w:szCs w:val="30"/>
        </w:rPr>
        <w:t>其他收入</w:t>
      </w:r>
      <w:r w:rsidRPr="00C25ED2">
        <w:rPr>
          <w:rFonts w:asciiTheme="minorEastAsia" w:eastAsiaTheme="minorEastAsia" w:hAnsiTheme="minorEastAsia" w:cs="仿宋" w:hint="eastAsia"/>
          <w:sz w:val="30"/>
          <w:szCs w:val="30"/>
        </w:rPr>
        <w:t>较上年下降31.55%，主要原因是：</w:t>
      </w:r>
      <w:r w:rsidRPr="00C25ED2">
        <w:rPr>
          <w:rFonts w:asciiTheme="minorEastAsia" w:eastAsiaTheme="minorEastAsia" w:hAnsiTheme="minorEastAsia" w:hint="eastAsia"/>
          <w:sz w:val="30"/>
          <w:szCs w:val="30"/>
        </w:rPr>
        <w:t>根据政府会计制度要求，部门（单位）所属企业不纳入部门（单位）合并报表范围。</w:t>
      </w:r>
    </w:p>
    <w:p w:rsidR="00A930CF" w:rsidRPr="00C25ED2" w:rsidRDefault="00A930CF" w:rsidP="00A930CF">
      <w:pPr>
        <w:pStyle w:val="pMsoNormal"/>
        <w:spacing w:line="590" w:lineRule="atLeast"/>
        <w:ind w:firstLine="600"/>
        <w:jc w:val="left"/>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表1：2019年省二院部门收入构成</w:t>
      </w:r>
    </w:p>
    <w:p w:rsidR="00A930CF" w:rsidRPr="00C25ED2" w:rsidRDefault="00016069" w:rsidP="00CA366D">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hint="eastAsia"/>
          <w:noProof/>
          <w:sz w:val="30"/>
          <w:szCs w:val="30"/>
        </w:rPr>
        <w:drawing>
          <wp:inline distT="0" distB="0" distL="0" distR="0">
            <wp:extent cx="5274310" cy="3076575"/>
            <wp:effectExtent l="0" t="0" r="2159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930CF" w:rsidRPr="00C25ED2" w:rsidRDefault="00A930CF" w:rsidP="00A930CF">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仿宋" w:hint="eastAsia"/>
          <w:sz w:val="30"/>
          <w:szCs w:val="30"/>
        </w:rPr>
        <w:t>表2:2019年收入较上年对比情况</w:t>
      </w:r>
    </w:p>
    <w:p w:rsidR="00A930CF" w:rsidRPr="00C25ED2" w:rsidRDefault="00CA366D" w:rsidP="00CA366D">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hint="eastAsia"/>
          <w:noProof/>
          <w:sz w:val="30"/>
          <w:szCs w:val="30"/>
        </w:rPr>
        <w:lastRenderedPageBreak/>
        <w:drawing>
          <wp:inline distT="0" distB="0" distL="0" distR="0">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930CF" w:rsidRPr="00495CB5" w:rsidRDefault="00A930CF" w:rsidP="00A930CF">
      <w:pPr>
        <w:pStyle w:val="pMsoNormal"/>
        <w:spacing w:line="590" w:lineRule="atLeast"/>
        <w:ind w:firstLine="600"/>
        <w:jc w:val="left"/>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二、支出决算情况说明</w:t>
      </w:r>
    </w:p>
    <w:p w:rsidR="00316441" w:rsidRPr="00C25ED2" w:rsidRDefault="00A930CF" w:rsidP="00A930CF">
      <w:pPr>
        <w:pStyle w:val="pMsoNormal"/>
        <w:spacing w:line="590" w:lineRule="atLeast"/>
        <w:ind w:firstLine="600"/>
        <w:rPr>
          <w:rFonts w:asciiTheme="minorEastAsia" w:eastAsiaTheme="minorEastAsia" w:hAnsiTheme="minorEastAsia" w:cs="仿宋"/>
          <w:sz w:val="30"/>
          <w:szCs w:val="30"/>
        </w:rPr>
      </w:pPr>
      <w:r w:rsidRPr="00C25ED2">
        <w:rPr>
          <w:rFonts w:asciiTheme="minorEastAsia" w:eastAsiaTheme="minorEastAsia" w:hAnsiTheme="minorEastAsia" w:cs="仿宋"/>
          <w:sz w:val="30"/>
          <w:szCs w:val="30"/>
        </w:rPr>
        <w:t>云南省</w:t>
      </w:r>
      <w:r w:rsidR="000A217E" w:rsidRPr="00C25ED2">
        <w:rPr>
          <w:rFonts w:asciiTheme="minorEastAsia" w:eastAsiaTheme="minorEastAsia" w:hAnsiTheme="minorEastAsia" w:cs="仿宋" w:hint="eastAsia"/>
          <w:sz w:val="30"/>
          <w:szCs w:val="30"/>
        </w:rPr>
        <w:t>第二人民医院</w:t>
      </w:r>
      <w:r w:rsidRPr="00C25ED2">
        <w:rPr>
          <w:rFonts w:asciiTheme="minorEastAsia" w:eastAsiaTheme="minorEastAsia" w:hAnsiTheme="minorEastAsia" w:cs="仿宋"/>
          <w:sz w:val="30"/>
          <w:szCs w:val="30"/>
        </w:rPr>
        <w:t>2019年度支出合计</w:t>
      </w:r>
      <w:r w:rsidR="000A217E" w:rsidRPr="00C25ED2">
        <w:rPr>
          <w:rFonts w:asciiTheme="minorEastAsia" w:eastAsiaTheme="minorEastAsia" w:hAnsiTheme="minorEastAsia" w:cs="仿宋" w:hint="eastAsia"/>
          <w:sz w:val="30"/>
          <w:szCs w:val="30"/>
        </w:rPr>
        <w:t>12</w:t>
      </w:r>
      <w:r w:rsidR="00AD4CF2" w:rsidRPr="00C25ED2">
        <w:rPr>
          <w:rFonts w:asciiTheme="minorEastAsia" w:eastAsiaTheme="minorEastAsia" w:hAnsiTheme="minorEastAsia" w:cs="仿宋" w:hint="eastAsia"/>
          <w:sz w:val="30"/>
          <w:szCs w:val="30"/>
        </w:rPr>
        <w:t>4,074.22</w:t>
      </w:r>
      <w:r w:rsidRPr="00C25ED2">
        <w:rPr>
          <w:rFonts w:asciiTheme="minorEastAsia" w:eastAsiaTheme="minorEastAsia" w:hAnsiTheme="minorEastAsia" w:cs="仿宋"/>
          <w:sz w:val="30"/>
          <w:szCs w:val="30"/>
        </w:rPr>
        <w:t>万元。其中：基本支出</w:t>
      </w:r>
      <w:r w:rsidR="009C5743" w:rsidRPr="00C25ED2">
        <w:rPr>
          <w:rFonts w:asciiTheme="minorEastAsia" w:eastAsiaTheme="minorEastAsia" w:hAnsiTheme="minorEastAsia" w:cs="仿宋" w:hint="eastAsia"/>
          <w:sz w:val="30"/>
          <w:szCs w:val="30"/>
        </w:rPr>
        <w:t>12</w:t>
      </w:r>
      <w:r w:rsidR="00AD4CF2" w:rsidRPr="00C25ED2">
        <w:rPr>
          <w:rFonts w:asciiTheme="minorEastAsia" w:eastAsiaTheme="minorEastAsia" w:hAnsiTheme="minorEastAsia" w:cs="仿宋" w:hint="eastAsia"/>
          <w:sz w:val="30"/>
          <w:szCs w:val="30"/>
        </w:rPr>
        <w:t>0</w:t>
      </w:r>
      <w:r w:rsidR="009C5743" w:rsidRPr="00C25ED2">
        <w:rPr>
          <w:rFonts w:asciiTheme="minorEastAsia" w:eastAsiaTheme="minorEastAsia" w:hAnsiTheme="minorEastAsia" w:cs="仿宋" w:hint="eastAsia"/>
          <w:sz w:val="30"/>
          <w:szCs w:val="30"/>
        </w:rPr>
        <w:t>,</w:t>
      </w:r>
      <w:r w:rsidR="00AD4CF2" w:rsidRPr="00C25ED2">
        <w:rPr>
          <w:rFonts w:asciiTheme="minorEastAsia" w:eastAsiaTheme="minorEastAsia" w:hAnsiTheme="minorEastAsia" w:cs="仿宋" w:hint="eastAsia"/>
          <w:sz w:val="30"/>
          <w:szCs w:val="30"/>
        </w:rPr>
        <w:t>005</w:t>
      </w:r>
      <w:r w:rsidR="009C5743" w:rsidRPr="00C25ED2">
        <w:rPr>
          <w:rFonts w:asciiTheme="minorEastAsia" w:eastAsiaTheme="minorEastAsia" w:hAnsiTheme="minorEastAsia" w:cs="仿宋" w:hint="eastAsia"/>
          <w:sz w:val="30"/>
          <w:szCs w:val="30"/>
        </w:rPr>
        <w:t>.</w:t>
      </w:r>
      <w:r w:rsidR="00AD4CF2" w:rsidRPr="00C25ED2">
        <w:rPr>
          <w:rFonts w:asciiTheme="minorEastAsia" w:eastAsiaTheme="minorEastAsia" w:hAnsiTheme="minorEastAsia" w:cs="仿宋" w:hint="eastAsia"/>
          <w:sz w:val="30"/>
          <w:szCs w:val="30"/>
        </w:rPr>
        <w:t>63</w:t>
      </w:r>
      <w:r w:rsidRPr="00C25ED2">
        <w:rPr>
          <w:rFonts w:asciiTheme="minorEastAsia" w:eastAsiaTheme="minorEastAsia" w:hAnsiTheme="minorEastAsia" w:cs="仿宋"/>
          <w:sz w:val="30"/>
          <w:szCs w:val="30"/>
        </w:rPr>
        <w:t>万元，占总支出的</w:t>
      </w:r>
      <w:r w:rsidR="009C5743" w:rsidRPr="00C25ED2">
        <w:rPr>
          <w:rFonts w:asciiTheme="minorEastAsia" w:eastAsiaTheme="minorEastAsia" w:hAnsiTheme="minorEastAsia" w:cs="仿宋" w:hint="eastAsia"/>
          <w:sz w:val="30"/>
          <w:szCs w:val="30"/>
        </w:rPr>
        <w:t>96.</w:t>
      </w:r>
      <w:r w:rsidR="00AD4CF2" w:rsidRPr="00C25ED2">
        <w:rPr>
          <w:rFonts w:asciiTheme="minorEastAsia" w:eastAsiaTheme="minorEastAsia" w:hAnsiTheme="minorEastAsia" w:cs="仿宋" w:hint="eastAsia"/>
          <w:sz w:val="30"/>
          <w:szCs w:val="30"/>
        </w:rPr>
        <w:t>72</w:t>
      </w:r>
      <w:r w:rsidRPr="00C25ED2">
        <w:rPr>
          <w:rFonts w:asciiTheme="minorEastAsia" w:eastAsiaTheme="minorEastAsia" w:hAnsiTheme="minorEastAsia" w:cs="仿宋"/>
          <w:sz w:val="30"/>
          <w:szCs w:val="30"/>
        </w:rPr>
        <w:t>%；项目支出</w:t>
      </w:r>
      <w:r w:rsidR="009C5743" w:rsidRPr="00C25ED2">
        <w:rPr>
          <w:rFonts w:asciiTheme="minorEastAsia" w:eastAsiaTheme="minorEastAsia" w:hAnsiTheme="minorEastAsia" w:cs="仿宋" w:hint="eastAsia"/>
          <w:sz w:val="30"/>
          <w:szCs w:val="30"/>
        </w:rPr>
        <w:t>4,068.59</w:t>
      </w:r>
      <w:r w:rsidRPr="00C25ED2">
        <w:rPr>
          <w:rFonts w:asciiTheme="minorEastAsia" w:eastAsiaTheme="minorEastAsia" w:hAnsiTheme="minorEastAsia" w:cs="仿宋"/>
          <w:sz w:val="30"/>
          <w:szCs w:val="30"/>
        </w:rPr>
        <w:t>万元，占总支出的</w:t>
      </w:r>
      <w:r w:rsidR="009C5743" w:rsidRPr="00C25ED2">
        <w:rPr>
          <w:rFonts w:asciiTheme="minorEastAsia" w:eastAsiaTheme="minorEastAsia" w:hAnsiTheme="minorEastAsia" w:cs="仿宋" w:hint="eastAsia"/>
          <w:sz w:val="30"/>
          <w:szCs w:val="30"/>
        </w:rPr>
        <w:t>3.</w:t>
      </w:r>
      <w:bookmarkStart w:id="0" w:name="_GoBack"/>
      <w:bookmarkEnd w:id="0"/>
      <w:r w:rsidR="00AD4CF2" w:rsidRPr="00C25ED2">
        <w:rPr>
          <w:rFonts w:asciiTheme="minorEastAsia" w:eastAsiaTheme="minorEastAsia" w:hAnsiTheme="minorEastAsia" w:cs="仿宋" w:hint="eastAsia"/>
          <w:sz w:val="30"/>
          <w:szCs w:val="30"/>
        </w:rPr>
        <w:t>28</w:t>
      </w:r>
      <w:r w:rsidRPr="00C25ED2">
        <w:rPr>
          <w:rFonts w:asciiTheme="minorEastAsia" w:eastAsiaTheme="minorEastAsia" w:hAnsiTheme="minorEastAsia" w:cs="仿宋"/>
          <w:sz w:val="30"/>
          <w:szCs w:val="30"/>
        </w:rPr>
        <w:t>%</w:t>
      </w:r>
      <w:r w:rsidR="00316441" w:rsidRPr="00C25ED2">
        <w:rPr>
          <w:rFonts w:asciiTheme="minorEastAsia" w:eastAsiaTheme="minorEastAsia" w:hAnsiTheme="minorEastAsia" w:cs="仿宋" w:hint="eastAsia"/>
          <w:sz w:val="30"/>
          <w:szCs w:val="30"/>
        </w:rPr>
        <w:t>。</w:t>
      </w:r>
    </w:p>
    <w:p w:rsidR="00A930CF" w:rsidRPr="00C25ED2" w:rsidRDefault="00A930CF" w:rsidP="00A930CF">
      <w:pPr>
        <w:pStyle w:val="pMsoNormal"/>
        <w:spacing w:line="590" w:lineRule="atLeast"/>
        <w:ind w:firstLine="600"/>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表3:2019年度省</w:t>
      </w:r>
      <w:r w:rsidR="00316441" w:rsidRPr="00C25ED2">
        <w:rPr>
          <w:rFonts w:asciiTheme="minorEastAsia" w:eastAsiaTheme="minorEastAsia" w:hAnsiTheme="minorEastAsia" w:cs="仿宋" w:hint="eastAsia"/>
          <w:sz w:val="30"/>
          <w:szCs w:val="30"/>
        </w:rPr>
        <w:t>二院</w:t>
      </w:r>
      <w:r w:rsidRPr="00C25ED2">
        <w:rPr>
          <w:rFonts w:asciiTheme="minorEastAsia" w:eastAsiaTheme="minorEastAsia" w:hAnsiTheme="minorEastAsia" w:cs="仿宋" w:hint="eastAsia"/>
          <w:sz w:val="30"/>
          <w:szCs w:val="30"/>
        </w:rPr>
        <w:t>各项支出构成</w:t>
      </w:r>
    </w:p>
    <w:p w:rsidR="00A930CF" w:rsidRPr="00C25ED2" w:rsidRDefault="00316441" w:rsidP="00316441">
      <w:pPr>
        <w:pStyle w:val="pMsoNormal"/>
        <w:spacing w:line="590" w:lineRule="atLeast"/>
        <w:ind w:firstLine="600"/>
        <w:rPr>
          <w:rFonts w:asciiTheme="minorEastAsia" w:eastAsiaTheme="minorEastAsia" w:hAnsiTheme="minorEastAsia" w:cs="仿宋"/>
          <w:sz w:val="30"/>
          <w:szCs w:val="30"/>
        </w:rPr>
      </w:pPr>
      <w:r w:rsidRPr="00C25ED2">
        <w:rPr>
          <w:rFonts w:asciiTheme="minorEastAsia" w:eastAsiaTheme="minorEastAsia" w:hAnsiTheme="minorEastAsia" w:cs="仿宋"/>
          <w:noProof/>
          <w:sz w:val="30"/>
          <w:szCs w:val="30"/>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30CF" w:rsidRPr="00495CB5" w:rsidRDefault="00A930CF" w:rsidP="00A930CF">
      <w:pPr>
        <w:pStyle w:val="pMsoNormal"/>
        <w:spacing w:line="590" w:lineRule="atLeast"/>
        <w:ind w:firstLine="600"/>
        <w:jc w:val="left"/>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三、一般公共预算财政拨款支出决算情况说明</w:t>
      </w:r>
    </w:p>
    <w:p w:rsidR="00A930CF" w:rsidRPr="00C25ED2" w:rsidRDefault="00A930CF" w:rsidP="00A930CF">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楷体"/>
          <w:sz w:val="30"/>
          <w:szCs w:val="30"/>
        </w:rPr>
        <w:lastRenderedPageBreak/>
        <w:t>（一）一般公共预算财政拨款支出决算总体情况</w:t>
      </w:r>
    </w:p>
    <w:p w:rsidR="00A930CF" w:rsidRPr="00C25ED2" w:rsidRDefault="00A930CF" w:rsidP="00A930CF">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仿宋"/>
          <w:sz w:val="30"/>
          <w:szCs w:val="30"/>
        </w:rPr>
        <w:t>云南省</w:t>
      </w:r>
      <w:r w:rsidR="00D67705" w:rsidRPr="00C25ED2">
        <w:rPr>
          <w:rFonts w:asciiTheme="minorEastAsia" w:eastAsiaTheme="minorEastAsia" w:hAnsiTheme="minorEastAsia" w:cs="仿宋" w:hint="eastAsia"/>
          <w:sz w:val="30"/>
          <w:szCs w:val="30"/>
        </w:rPr>
        <w:t>第二人民医院</w:t>
      </w:r>
      <w:r w:rsidRPr="00C25ED2">
        <w:rPr>
          <w:rFonts w:asciiTheme="minorEastAsia" w:eastAsiaTheme="minorEastAsia" w:hAnsiTheme="minorEastAsia" w:cs="仿宋"/>
          <w:sz w:val="30"/>
          <w:szCs w:val="30"/>
        </w:rPr>
        <w:t>2019年度一般公共预算财政拨款支出</w:t>
      </w:r>
      <w:r w:rsidR="00D67705" w:rsidRPr="00C25ED2">
        <w:rPr>
          <w:rFonts w:asciiTheme="minorEastAsia" w:eastAsiaTheme="minorEastAsia" w:hAnsiTheme="minorEastAsia" w:cs="仿宋" w:hint="eastAsia"/>
          <w:sz w:val="30"/>
          <w:szCs w:val="30"/>
        </w:rPr>
        <w:t>10,167.51</w:t>
      </w:r>
      <w:r w:rsidRPr="00C25ED2">
        <w:rPr>
          <w:rFonts w:asciiTheme="minorEastAsia" w:eastAsiaTheme="minorEastAsia" w:hAnsiTheme="minorEastAsia" w:cs="仿宋"/>
          <w:sz w:val="30"/>
          <w:szCs w:val="30"/>
        </w:rPr>
        <w:t>元</w:t>
      </w:r>
      <w:r w:rsidRPr="00C25ED2">
        <w:rPr>
          <w:rFonts w:asciiTheme="minorEastAsia" w:eastAsiaTheme="minorEastAsia" w:hAnsiTheme="minorEastAsia" w:cs="Times New Roman"/>
          <w:sz w:val="30"/>
          <w:szCs w:val="30"/>
        </w:rPr>
        <w:t>,</w:t>
      </w:r>
      <w:r w:rsidRPr="00C25ED2">
        <w:rPr>
          <w:rFonts w:asciiTheme="minorEastAsia" w:eastAsiaTheme="minorEastAsia" w:hAnsiTheme="minorEastAsia" w:cs="仿宋"/>
          <w:sz w:val="30"/>
          <w:szCs w:val="30"/>
        </w:rPr>
        <w:t>占本年支出合计的</w:t>
      </w:r>
      <w:r w:rsidR="00D67705" w:rsidRPr="00C25ED2">
        <w:rPr>
          <w:rFonts w:asciiTheme="minorEastAsia" w:eastAsiaTheme="minorEastAsia" w:hAnsiTheme="minorEastAsia" w:cs="仿宋" w:hint="eastAsia"/>
          <w:sz w:val="30"/>
          <w:szCs w:val="30"/>
        </w:rPr>
        <w:t>8.19</w:t>
      </w:r>
      <w:r w:rsidRPr="00C25ED2">
        <w:rPr>
          <w:rFonts w:asciiTheme="minorEastAsia" w:eastAsiaTheme="minorEastAsia" w:hAnsiTheme="minorEastAsia" w:cs="仿宋"/>
          <w:sz w:val="30"/>
          <w:szCs w:val="30"/>
        </w:rPr>
        <w:t>%</w:t>
      </w:r>
      <w:r w:rsidR="00D67705" w:rsidRPr="00C25ED2">
        <w:rPr>
          <w:rFonts w:asciiTheme="minorEastAsia" w:eastAsiaTheme="minorEastAsia" w:hAnsiTheme="minorEastAsia" w:cs="仿宋" w:hint="eastAsia"/>
          <w:sz w:val="30"/>
          <w:szCs w:val="30"/>
        </w:rPr>
        <w:t>，</w:t>
      </w:r>
      <w:r w:rsidRPr="00C25ED2">
        <w:rPr>
          <w:rFonts w:asciiTheme="minorEastAsia" w:eastAsiaTheme="minorEastAsia" w:hAnsiTheme="minorEastAsia" w:cs="仿宋" w:hint="eastAsia"/>
          <w:sz w:val="30"/>
          <w:szCs w:val="30"/>
        </w:rPr>
        <w:t>较上年</w:t>
      </w:r>
      <w:r w:rsidR="00D67705" w:rsidRPr="00C25ED2">
        <w:rPr>
          <w:rFonts w:asciiTheme="minorEastAsia" w:eastAsiaTheme="minorEastAsia" w:hAnsiTheme="minorEastAsia" w:cs="仿宋" w:hint="eastAsia"/>
          <w:sz w:val="30"/>
          <w:szCs w:val="30"/>
        </w:rPr>
        <w:t>增长23.75</w:t>
      </w:r>
      <w:r w:rsidRPr="00C25ED2">
        <w:rPr>
          <w:rFonts w:asciiTheme="minorEastAsia" w:eastAsiaTheme="minorEastAsia" w:hAnsiTheme="minorEastAsia" w:cs="仿宋" w:hint="eastAsia"/>
          <w:sz w:val="30"/>
          <w:szCs w:val="30"/>
        </w:rPr>
        <w:t>%</w:t>
      </w:r>
      <w:r w:rsidR="00D67705" w:rsidRPr="00C25ED2">
        <w:rPr>
          <w:rFonts w:asciiTheme="minorEastAsia" w:eastAsiaTheme="minorEastAsia" w:hAnsiTheme="minorEastAsia" w:cs="仿宋" w:hint="eastAsia"/>
          <w:sz w:val="30"/>
          <w:szCs w:val="30"/>
        </w:rPr>
        <w:t>。</w:t>
      </w:r>
      <w:r w:rsidR="00D67705" w:rsidRPr="00C25ED2">
        <w:rPr>
          <w:rFonts w:asciiTheme="minorEastAsia" w:eastAsiaTheme="minorEastAsia" w:hAnsiTheme="minorEastAsia"/>
          <w:sz w:val="30"/>
          <w:szCs w:val="30"/>
        </w:rPr>
        <w:t xml:space="preserve"> </w:t>
      </w:r>
    </w:p>
    <w:p w:rsidR="00A930CF" w:rsidRPr="00C25ED2" w:rsidRDefault="00A930CF" w:rsidP="00A930CF">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楷体"/>
          <w:sz w:val="30"/>
          <w:szCs w:val="30"/>
        </w:rPr>
        <w:t>（二）一般公共预算财政拨款支出决算具体情况</w:t>
      </w:r>
    </w:p>
    <w:p w:rsidR="00D67705" w:rsidRPr="00C25ED2" w:rsidRDefault="00A930CF" w:rsidP="00A930CF">
      <w:pPr>
        <w:pStyle w:val="pMsoNormal"/>
        <w:spacing w:line="590" w:lineRule="atLeast"/>
        <w:ind w:firstLine="600"/>
        <w:jc w:val="left"/>
        <w:rPr>
          <w:rFonts w:asciiTheme="minorEastAsia" w:eastAsiaTheme="minorEastAsia" w:hAnsiTheme="minorEastAsia" w:cs="仿宋"/>
          <w:sz w:val="30"/>
          <w:szCs w:val="30"/>
        </w:rPr>
      </w:pPr>
      <w:r w:rsidRPr="00C25ED2">
        <w:rPr>
          <w:rFonts w:asciiTheme="minorEastAsia" w:eastAsiaTheme="minorEastAsia" w:hAnsiTheme="minorEastAsia" w:cs="仿宋"/>
          <w:sz w:val="30"/>
          <w:szCs w:val="30"/>
        </w:rPr>
        <w:t>1.一般公共服务（类）支出10万元，占一般公共预算财政拨款总支出的0.</w:t>
      </w:r>
      <w:r w:rsidR="00D67705" w:rsidRPr="00C25ED2">
        <w:rPr>
          <w:rFonts w:asciiTheme="minorEastAsia" w:eastAsiaTheme="minorEastAsia" w:hAnsiTheme="minorEastAsia" w:cs="仿宋" w:hint="eastAsia"/>
          <w:sz w:val="30"/>
          <w:szCs w:val="30"/>
        </w:rPr>
        <w:t>10</w:t>
      </w:r>
      <w:r w:rsidRPr="00C25ED2">
        <w:rPr>
          <w:rFonts w:asciiTheme="minorEastAsia" w:eastAsiaTheme="minorEastAsia" w:hAnsiTheme="minorEastAsia" w:cs="仿宋"/>
          <w:sz w:val="30"/>
          <w:szCs w:val="30"/>
        </w:rPr>
        <w:t>%</w:t>
      </w:r>
      <w:r w:rsidR="00D67705" w:rsidRPr="00C25ED2">
        <w:rPr>
          <w:rFonts w:asciiTheme="minorEastAsia" w:eastAsiaTheme="minorEastAsia" w:hAnsiTheme="minorEastAsia" w:cs="仿宋" w:hint="eastAsia"/>
          <w:sz w:val="30"/>
          <w:szCs w:val="30"/>
        </w:rPr>
        <w:t>；</w:t>
      </w:r>
    </w:p>
    <w:p w:rsidR="00A930CF" w:rsidRPr="00C25ED2" w:rsidRDefault="00A930CF" w:rsidP="00A930CF">
      <w:pPr>
        <w:pStyle w:val="pMsoNormal"/>
        <w:spacing w:line="590" w:lineRule="atLeast"/>
        <w:ind w:firstLine="600"/>
        <w:jc w:val="left"/>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2</w:t>
      </w:r>
      <w:r w:rsidRPr="00C25ED2">
        <w:rPr>
          <w:rFonts w:asciiTheme="minorEastAsia" w:eastAsiaTheme="minorEastAsia" w:hAnsiTheme="minorEastAsia" w:cs="仿宋"/>
          <w:sz w:val="30"/>
          <w:szCs w:val="30"/>
        </w:rPr>
        <w:t>.科学技术（类）支出</w:t>
      </w:r>
      <w:r w:rsidR="00D67705" w:rsidRPr="00C25ED2">
        <w:rPr>
          <w:rFonts w:asciiTheme="minorEastAsia" w:eastAsiaTheme="minorEastAsia" w:hAnsiTheme="minorEastAsia" w:cs="仿宋" w:hint="eastAsia"/>
          <w:sz w:val="30"/>
          <w:szCs w:val="30"/>
        </w:rPr>
        <w:t>621</w:t>
      </w:r>
      <w:r w:rsidRPr="00C25ED2">
        <w:rPr>
          <w:rFonts w:asciiTheme="minorEastAsia" w:eastAsiaTheme="minorEastAsia" w:hAnsiTheme="minorEastAsia" w:cs="仿宋"/>
          <w:sz w:val="30"/>
          <w:szCs w:val="30"/>
        </w:rPr>
        <w:t>万元，占一般公共预算财政拨款总支出的</w:t>
      </w:r>
      <w:r w:rsidR="00D67705" w:rsidRPr="00C25ED2">
        <w:rPr>
          <w:rFonts w:asciiTheme="minorEastAsia" w:eastAsiaTheme="minorEastAsia" w:hAnsiTheme="minorEastAsia" w:cs="仿宋" w:hint="eastAsia"/>
          <w:sz w:val="30"/>
          <w:szCs w:val="30"/>
        </w:rPr>
        <w:t>6.11</w:t>
      </w:r>
      <w:r w:rsidRPr="00C25ED2">
        <w:rPr>
          <w:rFonts w:asciiTheme="minorEastAsia" w:eastAsiaTheme="minorEastAsia" w:hAnsiTheme="minorEastAsia" w:cs="仿宋"/>
          <w:sz w:val="30"/>
          <w:szCs w:val="30"/>
        </w:rPr>
        <w:t>%。主要用于</w:t>
      </w:r>
      <w:r w:rsidRPr="00C25ED2">
        <w:rPr>
          <w:rFonts w:asciiTheme="minorEastAsia" w:eastAsiaTheme="minorEastAsia" w:hAnsiTheme="minorEastAsia" w:cs="仿宋" w:hint="eastAsia"/>
          <w:sz w:val="30"/>
          <w:szCs w:val="30"/>
        </w:rPr>
        <w:t>基础研究计划、重大科技专项、高层次人才培养引进等方面项目支出</w:t>
      </w:r>
      <w:r w:rsidRPr="00C25ED2">
        <w:rPr>
          <w:rFonts w:asciiTheme="minorEastAsia" w:eastAsiaTheme="minorEastAsia" w:hAnsiTheme="minorEastAsia" w:cs="仿宋"/>
          <w:sz w:val="30"/>
          <w:szCs w:val="30"/>
        </w:rPr>
        <w:t>；</w:t>
      </w:r>
    </w:p>
    <w:p w:rsidR="00A930CF" w:rsidRPr="00C25ED2" w:rsidRDefault="00A930CF" w:rsidP="00A930CF">
      <w:pPr>
        <w:pStyle w:val="pMsoNormal"/>
        <w:spacing w:line="590" w:lineRule="atLeast"/>
        <w:ind w:firstLine="600"/>
        <w:jc w:val="left"/>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3</w:t>
      </w:r>
      <w:r w:rsidRPr="00C25ED2">
        <w:rPr>
          <w:rFonts w:asciiTheme="minorEastAsia" w:eastAsiaTheme="minorEastAsia" w:hAnsiTheme="minorEastAsia" w:cs="仿宋"/>
          <w:sz w:val="30"/>
          <w:szCs w:val="30"/>
        </w:rPr>
        <w:t>.社会保障和就业（类）支出</w:t>
      </w:r>
      <w:r w:rsidR="00D67705" w:rsidRPr="00C25ED2">
        <w:rPr>
          <w:rFonts w:asciiTheme="minorEastAsia" w:eastAsiaTheme="minorEastAsia" w:hAnsiTheme="minorEastAsia" w:cs="仿宋" w:hint="eastAsia"/>
          <w:sz w:val="30"/>
          <w:szCs w:val="30"/>
        </w:rPr>
        <w:t>147.24</w:t>
      </w:r>
      <w:r w:rsidRPr="00C25ED2">
        <w:rPr>
          <w:rFonts w:asciiTheme="minorEastAsia" w:eastAsiaTheme="minorEastAsia" w:hAnsiTheme="minorEastAsia" w:cs="仿宋"/>
          <w:sz w:val="30"/>
          <w:szCs w:val="30"/>
        </w:rPr>
        <w:t>万元，占一般公共预算财政拨款总支出的</w:t>
      </w:r>
      <w:r w:rsidR="00E53BC5" w:rsidRPr="00C25ED2">
        <w:rPr>
          <w:rFonts w:asciiTheme="minorEastAsia" w:eastAsiaTheme="minorEastAsia" w:hAnsiTheme="minorEastAsia" w:cs="仿宋" w:hint="eastAsia"/>
          <w:sz w:val="30"/>
          <w:szCs w:val="30"/>
        </w:rPr>
        <w:t>1</w:t>
      </w:r>
      <w:r w:rsidRPr="00C25ED2">
        <w:rPr>
          <w:rFonts w:asciiTheme="minorEastAsia" w:eastAsiaTheme="minorEastAsia" w:hAnsiTheme="minorEastAsia" w:cs="仿宋"/>
          <w:sz w:val="30"/>
          <w:szCs w:val="30"/>
        </w:rPr>
        <w:t>.4</w:t>
      </w:r>
      <w:r w:rsidR="00E53BC5" w:rsidRPr="00C25ED2">
        <w:rPr>
          <w:rFonts w:asciiTheme="minorEastAsia" w:eastAsiaTheme="minorEastAsia" w:hAnsiTheme="minorEastAsia" w:cs="仿宋" w:hint="eastAsia"/>
          <w:sz w:val="30"/>
          <w:szCs w:val="30"/>
        </w:rPr>
        <w:t>5</w:t>
      </w:r>
      <w:r w:rsidRPr="00C25ED2">
        <w:rPr>
          <w:rFonts w:asciiTheme="minorEastAsia" w:eastAsiaTheme="minorEastAsia" w:hAnsiTheme="minorEastAsia" w:cs="仿宋"/>
          <w:sz w:val="30"/>
          <w:szCs w:val="30"/>
        </w:rPr>
        <w:t>%。主要用于</w:t>
      </w:r>
      <w:r w:rsidRPr="00C25ED2">
        <w:rPr>
          <w:rFonts w:asciiTheme="minorEastAsia" w:eastAsiaTheme="minorEastAsia" w:hAnsiTheme="minorEastAsia" w:cs="仿宋" w:hint="eastAsia"/>
          <w:sz w:val="30"/>
          <w:szCs w:val="30"/>
        </w:rPr>
        <w:t>行政事业单位离退休、机关事业单位基本养老保险、职业年金、抚恤金等方面的支出</w:t>
      </w:r>
      <w:r w:rsidRPr="00C25ED2">
        <w:rPr>
          <w:rFonts w:asciiTheme="minorEastAsia" w:eastAsiaTheme="minorEastAsia" w:hAnsiTheme="minorEastAsia" w:cs="仿宋"/>
          <w:sz w:val="30"/>
          <w:szCs w:val="30"/>
        </w:rPr>
        <w:t>；</w:t>
      </w:r>
    </w:p>
    <w:p w:rsidR="00A930CF" w:rsidRPr="00C25ED2" w:rsidRDefault="00A930CF" w:rsidP="00A930CF">
      <w:pPr>
        <w:pStyle w:val="pMsoNormal"/>
        <w:spacing w:line="590" w:lineRule="atLeast"/>
        <w:ind w:firstLine="600"/>
        <w:jc w:val="left"/>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4</w:t>
      </w:r>
      <w:r w:rsidRPr="00C25ED2">
        <w:rPr>
          <w:rFonts w:asciiTheme="minorEastAsia" w:eastAsiaTheme="minorEastAsia" w:hAnsiTheme="minorEastAsia" w:cs="仿宋"/>
          <w:sz w:val="30"/>
          <w:szCs w:val="30"/>
        </w:rPr>
        <w:t>.卫生健康（类）支出</w:t>
      </w:r>
      <w:r w:rsidR="00D67705" w:rsidRPr="00C25ED2">
        <w:rPr>
          <w:rFonts w:asciiTheme="minorEastAsia" w:eastAsiaTheme="minorEastAsia" w:hAnsiTheme="minorEastAsia" w:cs="仿宋" w:hint="eastAsia"/>
          <w:sz w:val="30"/>
          <w:szCs w:val="30"/>
        </w:rPr>
        <w:t>9,389.26</w:t>
      </w:r>
      <w:r w:rsidRPr="00C25ED2">
        <w:rPr>
          <w:rFonts w:asciiTheme="minorEastAsia" w:eastAsiaTheme="minorEastAsia" w:hAnsiTheme="minorEastAsia" w:cs="仿宋"/>
          <w:sz w:val="30"/>
          <w:szCs w:val="30"/>
        </w:rPr>
        <w:t>万元，占一般公共预算财政拨款总支出的</w:t>
      </w:r>
      <w:r w:rsidR="00E53BC5" w:rsidRPr="00C25ED2">
        <w:rPr>
          <w:rFonts w:asciiTheme="minorEastAsia" w:eastAsiaTheme="minorEastAsia" w:hAnsiTheme="minorEastAsia" w:cs="仿宋"/>
          <w:sz w:val="30"/>
          <w:szCs w:val="30"/>
        </w:rPr>
        <w:t>92.35</w:t>
      </w:r>
      <w:r w:rsidRPr="00C25ED2">
        <w:rPr>
          <w:rFonts w:asciiTheme="minorEastAsia" w:eastAsiaTheme="minorEastAsia" w:hAnsiTheme="minorEastAsia" w:cs="仿宋"/>
          <w:sz w:val="30"/>
          <w:szCs w:val="30"/>
        </w:rPr>
        <w:t>%。主要用于</w:t>
      </w:r>
      <w:r w:rsidRPr="00C25ED2">
        <w:rPr>
          <w:rFonts w:asciiTheme="minorEastAsia" w:eastAsiaTheme="minorEastAsia" w:hAnsiTheme="minorEastAsia" w:cs="仿宋" w:hint="eastAsia"/>
          <w:sz w:val="30"/>
          <w:szCs w:val="30"/>
        </w:rPr>
        <w:t>保障</w:t>
      </w:r>
      <w:r w:rsidR="00E53BC5" w:rsidRPr="00C25ED2">
        <w:rPr>
          <w:rFonts w:asciiTheme="minorEastAsia" w:eastAsiaTheme="minorEastAsia" w:hAnsiTheme="minorEastAsia" w:cs="仿宋" w:hint="eastAsia"/>
          <w:sz w:val="30"/>
          <w:szCs w:val="30"/>
        </w:rPr>
        <w:t>医院正常运转和公共卫生</w:t>
      </w:r>
      <w:r w:rsidRPr="00C25ED2">
        <w:rPr>
          <w:rFonts w:asciiTheme="minorEastAsia" w:eastAsiaTheme="minorEastAsia" w:hAnsiTheme="minorEastAsia" w:cs="仿宋" w:hint="eastAsia"/>
          <w:sz w:val="30"/>
          <w:szCs w:val="30"/>
        </w:rPr>
        <w:t>及其他医疗卫生健康等方面的项目支出</w:t>
      </w:r>
      <w:r w:rsidRPr="00C25ED2">
        <w:rPr>
          <w:rFonts w:asciiTheme="minorEastAsia" w:eastAsiaTheme="minorEastAsia" w:hAnsiTheme="minorEastAsia" w:cs="仿宋"/>
          <w:sz w:val="30"/>
          <w:szCs w:val="30"/>
        </w:rPr>
        <w:t>；</w:t>
      </w:r>
    </w:p>
    <w:p w:rsidR="00A930CF" w:rsidRPr="00C25ED2" w:rsidRDefault="00A930CF" w:rsidP="00A930CF">
      <w:pPr>
        <w:pStyle w:val="pMsoNormal"/>
        <w:spacing w:line="590" w:lineRule="atLeast"/>
        <w:ind w:firstLine="600"/>
        <w:jc w:val="left"/>
        <w:rPr>
          <w:rFonts w:asciiTheme="minorEastAsia" w:eastAsiaTheme="minorEastAsia" w:hAnsiTheme="minorEastAsia" w:cs="仿宋"/>
          <w:sz w:val="30"/>
          <w:szCs w:val="30"/>
        </w:rPr>
      </w:pPr>
      <w:r w:rsidRPr="00C25ED2">
        <w:rPr>
          <w:rFonts w:asciiTheme="minorEastAsia" w:eastAsiaTheme="minorEastAsia" w:hAnsiTheme="minorEastAsia" w:cs="仿宋" w:hint="eastAsia"/>
          <w:w w:val="98"/>
          <w:sz w:val="30"/>
          <w:szCs w:val="30"/>
        </w:rPr>
        <w:t>表5：2019年度省</w:t>
      </w:r>
      <w:r w:rsidR="00D67705" w:rsidRPr="00C25ED2">
        <w:rPr>
          <w:rFonts w:asciiTheme="minorEastAsia" w:eastAsiaTheme="minorEastAsia" w:hAnsiTheme="minorEastAsia" w:cs="仿宋" w:hint="eastAsia"/>
          <w:w w:val="98"/>
          <w:sz w:val="30"/>
          <w:szCs w:val="30"/>
        </w:rPr>
        <w:t>二院</w:t>
      </w:r>
      <w:r w:rsidRPr="00C25ED2">
        <w:rPr>
          <w:rFonts w:asciiTheme="minorEastAsia" w:eastAsiaTheme="minorEastAsia" w:hAnsiTheme="minorEastAsia" w:cs="仿宋"/>
          <w:w w:val="98"/>
          <w:sz w:val="30"/>
          <w:szCs w:val="30"/>
        </w:rPr>
        <w:t>一般公共预算财政拨款支出</w:t>
      </w:r>
      <w:r w:rsidRPr="00C25ED2">
        <w:rPr>
          <w:rFonts w:asciiTheme="minorEastAsia" w:eastAsiaTheme="minorEastAsia" w:hAnsiTheme="minorEastAsia" w:cs="仿宋" w:hint="eastAsia"/>
          <w:w w:val="98"/>
          <w:sz w:val="30"/>
          <w:szCs w:val="30"/>
        </w:rPr>
        <w:t>构</w:t>
      </w:r>
      <w:r w:rsidRPr="00C25ED2">
        <w:rPr>
          <w:rFonts w:asciiTheme="minorEastAsia" w:eastAsiaTheme="minorEastAsia" w:hAnsiTheme="minorEastAsia" w:cs="仿宋" w:hint="eastAsia"/>
          <w:sz w:val="30"/>
          <w:szCs w:val="30"/>
        </w:rPr>
        <w:t>成</w:t>
      </w:r>
    </w:p>
    <w:p w:rsidR="00A930CF" w:rsidRPr="00C25ED2" w:rsidRDefault="008656F1" w:rsidP="00A930CF">
      <w:pPr>
        <w:pStyle w:val="pMsoNormal"/>
        <w:spacing w:line="590" w:lineRule="atLeast"/>
        <w:ind w:firstLine="600"/>
        <w:jc w:val="left"/>
        <w:rPr>
          <w:rFonts w:asciiTheme="minorEastAsia" w:eastAsiaTheme="minorEastAsia" w:hAnsiTheme="minorEastAsia" w:cs="宋体"/>
          <w:sz w:val="30"/>
          <w:szCs w:val="30"/>
        </w:rPr>
      </w:pPr>
      <w:r w:rsidRPr="00C25ED2">
        <w:rPr>
          <w:rFonts w:asciiTheme="minorEastAsia" w:eastAsiaTheme="minorEastAsia" w:hAnsiTheme="minorEastAsia" w:cs="宋体"/>
          <w:noProof/>
          <w:sz w:val="30"/>
          <w:szCs w:val="30"/>
        </w:rPr>
        <w:lastRenderedPageBreak/>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930CF" w:rsidRPr="00495CB5" w:rsidRDefault="00A930CF" w:rsidP="00A930CF">
      <w:pPr>
        <w:pStyle w:val="pMsoNormal"/>
        <w:spacing w:line="590" w:lineRule="atLeast"/>
        <w:ind w:firstLine="600"/>
        <w:jc w:val="left"/>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四、一般公共预算财政拨款</w:t>
      </w:r>
      <w:r w:rsidRPr="00495CB5">
        <w:rPr>
          <w:rFonts w:asciiTheme="minorEastAsia" w:eastAsiaTheme="minorEastAsia" w:hAnsiTheme="minorEastAsia" w:cs="Times New Roman"/>
          <w:b/>
          <w:sz w:val="30"/>
          <w:szCs w:val="30"/>
        </w:rPr>
        <w:t>“</w:t>
      </w:r>
      <w:r w:rsidRPr="00495CB5">
        <w:rPr>
          <w:rFonts w:asciiTheme="minorEastAsia" w:eastAsiaTheme="minorEastAsia" w:hAnsiTheme="minorEastAsia" w:cs="黑体"/>
          <w:b/>
          <w:sz w:val="30"/>
          <w:szCs w:val="30"/>
        </w:rPr>
        <w:t>三公</w:t>
      </w:r>
      <w:r w:rsidRPr="00495CB5">
        <w:rPr>
          <w:rFonts w:asciiTheme="minorEastAsia" w:eastAsiaTheme="minorEastAsia" w:hAnsiTheme="minorEastAsia" w:cs="Times New Roman"/>
          <w:b/>
          <w:sz w:val="30"/>
          <w:szCs w:val="30"/>
        </w:rPr>
        <w:t>”</w:t>
      </w:r>
      <w:r w:rsidRPr="00495CB5">
        <w:rPr>
          <w:rFonts w:asciiTheme="minorEastAsia" w:eastAsiaTheme="minorEastAsia" w:hAnsiTheme="minorEastAsia" w:cs="黑体"/>
          <w:b/>
          <w:sz w:val="30"/>
          <w:szCs w:val="30"/>
        </w:rPr>
        <w:t>经费支出决算情况说明</w:t>
      </w:r>
    </w:p>
    <w:p w:rsidR="008656F1" w:rsidRPr="00C25ED2" w:rsidRDefault="008656F1" w:rsidP="00A930CF">
      <w:pPr>
        <w:pStyle w:val="pMsoNormal"/>
        <w:spacing w:line="590" w:lineRule="atLeast"/>
        <w:ind w:firstLine="640"/>
        <w:jc w:val="center"/>
        <w:rPr>
          <w:rFonts w:asciiTheme="minorEastAsia" w:eastAsiaTheme="minorEastAsia" w:hAnsiTheme="minorEastAsia"/>
          <w:sz w:val="30"/>
          <w:szCs w:val="30"/>
        </w:rPr>
      </w:pPr>
      <w:r w:rsidRPr="00C25ED2">
        <w:rPr>
          <w:rFonts w:asciiTheme="minorEastAsia" w:eastAsiaTheme="minorEastAsia" w:hAnsiTheme="minorEastAsia" w:hint="eastAsia"/>
          <w:sz w:val="30"/>
          <w:szCs w:val="30"/>
        </w:rPr>
        <w:t>2</w:t>
      </w:r>
      <w:r w:rsidRPr="00C25ED2">
        <w:rPr>
          <w:rFonts w:asciiTheme="minorEastAsia" w:eastAsiaTheme="minorEastAsia" w:hAnsiTheme="minorEastAsia"/>
          <w:sz w:val="30"/>
          <w:szCs w:val="30"/>
        </w:rPr>
        <w:t>01</w:t>
      </w:r>
      <w:r w:rsidRPr="00C25ED2">
        <w:rPr>
          <w:rFonts w:asciiTheme="minorEastAsia" w:eastAsiaTheme="minorEastAsia" w:hAnsiTheme="minorEastAsia" w:hint="eastAsia"/>
          <w:sz w:val="30"/>
          <w:szCs w:val="30"/>
        </w:rPr>
        <w:t>9年</w:t>
      </w:r>
      <w:r w:rsidRPr="00C25ED2">
        <w:rPr>
          <w:rFonts w:asciiTheme="minorEastAsia" w:eastAsiaTheme="minorEastAsia" w:hAnsiTheme="minorEastAsia"/>
          <w:sz w:val="30"/>
          <w:szCs w:val="30"/>
        </w:rPr>
        <w:t>一般公共预算财政拨款无“</w:t>
      </w:r>
      <w:r w:rsidRPr="00C25ED2">
        <w:rPr>
          <w:rFonts w:asciiTheme="minorEastAsia" w:eastAsiaTheme="minorEastAsia" w:hAnsiTheme="minorEastAsia" w:hint="eastAsia"/>
          <w:sz w:val="30"/>
          <w:szCs w:val="30"/>
        </w:rPr>
        <w:t>三公</w:t>
      </w:r>
      <w:r w:rsidRPr="00C25ED2">
        <w:rPr>
          <w:rFonts w:asciiTheme="minorEastAsia" w:eastAsiaTheme="minorEastAsia" w:hAnsiTheme="minorEastAsia"/>
          <w:sz w:val="30"/>
          <w:szCs w:val="30"/>
        </w:rPr>
        <w:t>”</w:t>
      </w:r>
      <w:r w:rsidRPr="00C25ED2">
        <w:rPr>
          <w:rFonts w:asciiTheme="minorEastAsia" w:eastAsiaTheme="minorEastAsia" w:hAnsiTheme="minorEastAsia" w:hint="eastAsia"/>
          <w:sz w:val="30"/>
          <w:szCs w:val="30"/>
        </w:rPr>
        <w:t>经费</w:t>
      </w:r>
      <w:r w:rsidRPr="00C25ED2">
        <w:rPr>
          <w:rFonts w:asciiTheme="minorEastAsia" w:eastAsiaTheme="minorEastAsia" w:hAnsiTheme="minorEastAsia"/>
          <w:sz w:val="30"/>
          <w:szCs w:val="30"/>
        </w:rPr>
        <w:t>开支。</w:t>
      </w:r>
    </w:p>
    <w:p w:rsidR="00A930CF" w:rsidRPr="00495CB5" w:rsidRDefault="00A930CF" w:rsidP="00A930CF">
      <w:pPr>
        <w:pStyle w:val="pMsoNormal"/>
        <w:spacing w:line="590" w:lineRule="atLeast"/>
        <w:ind w:firstLine="640"/>
        <w:jc w:val="center"/>
        <w:rPr>
          <w:rFonts w:asciiTheme="minorEastAsia" w:eastAsiaTheme="minorEastAsia" w:hAnsiTheme="minorEastAsia"/>
          <w:b/>
          <w:sz w:val="30"/>
          <w:szCs w:val="30"/>
        </w:rPr>
      </w:pPr>
      <w:r w:rsidRPr="00495CB5">
        <w:rPr>
          <w:rFonts w:asciiTheme="minorEastAsia" w:eastAsiaTheme="minorEastAsia" w:hAnsiTheme="minorEastAsia" w:cs="黑体"/>
          <w:b/>
          <w:sz w:val="30"/>
          <w:szCs w:val="30"/>
        </w:rPr>
        <w:t>第四部分</w:t>
      </w:r>
      <w:r w:rsidRPr="00495CB5">
        <w:rPr>
          <w:rFonts w:asciiTheme="minorEastAsia" w:eastAsiaTheme="minorEastAsia" w:hAnsiTheme="minorEastAsia" w:cs="Calibri"/>
          <w:b/>
          <w:sz w:val="30"/>
          <w:szCs w:val="30"/>
        </w:rPr>
        <w:t>  </w:t>
      </w:r>
      <w:r w:rsidRPr="00495CB5">
        <w:rPr>
          <w:rFonts w:asciiTheme="minorEastAsia" w:eastAsiaTheme="minorEastAsia" w:hAnsiTheme="minorEastAsia" w:cs="黑体"/>
          <w:b/>
          <w:sz w:val="30"/>
          <w:szCs w:val="30"/>
        </w:rPr>
        <w:t>其他重要事项及相关口径情况说明</w:t>
      </w:r>
    </w:p>
    <w:p w:rsidR="007D5A79" w:rsidRPr="00495CB5" w:rsidRDefault="00A930CF" w:rsidP="007D5A79">
      <w:pPr>
        <w:pStyle w:val="pMsoNormal"/>
        <w:spacing w:line="590" w:lineRule="atLeast"/>
        <w:ind w:firstLine="600"/>
        <w:jc w:val="left"/>
        <w:rPr>
          <w:rFonts w:asciiTheme="minorEastAsia" w:eastAsiaTheme="minorEastAsia" w:hAnsiTheme="minorEastAsia" w:cs="楷体"/>
          <w:b/>
          <w:sz w:val="30"/>
          <w:szCs w:val="30"/>
        </w:rPr>
      </w:pPr>
      <w:r w:rsidRPr="00495CB5">
        <w:rPr>
          <w:rFonts w:asciiTheme="minorEastAsia" w:eastAsiaTheme="minorEastAsia" w:hAnsiTheme="minorEastAsia" w:cs="黑体"/>
          <w:b/>
          <w:sz w:val="30"/>
          <w:szCs w:val="30"/>
        </w:rPr>
        <w:t>一、</w:t>
      </w:r>
      <w:r w:rsidR="007D5A79" w:rsidRPr="00495CB5">
        <w:rPr>
          <w:rFonts w:asciiTheme="minorEastAsia" w:eastAsiaTheme="minorEastAsia" w:hAnsiTheme="minorEastAsia" w:cs="楷体" w:hint="eastAsia"/>
          <w:b/>
          <w:sz w:val="30"/>
          <w:szCs w:val="30"/>
        </w:rPr>
        <w:t>2019年度项目支出自评报告</w:t>
      </w:r>
    </w:p>
    <w:p w:rsidR="001619F7" w:rsidRPr="00C25ED2" w:rsidRDefault="001619F7" w:rsidP="001619F7">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仿宋" w:hint="eastAsia"/>
          <w:color w:val="000000"/>
          <w:sz w:val="30"/>
          <w:szCs w:val="30"/>
        </w:rPr>
        <w:t>2019年度项目支出自评</w:t>
      </w:r>
      <w:r w:rsidRPr="00C25ED2">
        <w:rPr>
          <w:rFonts w:asciiTheme="minorEastAsia" w:eastAsiaTheme="minorEastAsia" w:hAnsiTheme="minorEastAsia" w:cs="仿宋"/>
          <w:color w:val="000000"/>
          <w:sz w:val="30"/>
          <w:szCs w:val="30"/>
        </w:rPr>
        <w:t>情况表详见附表</w:t>
      </w:r>
    </w:p>
    <w:p w:rsidR="00A930CF" w:rsidRPr="00495CB5" w:rsidRDefault="001619F7" w:rsidP="00A930CF">
      <w:pPr>
        <w:pStyle w:val="pMsoNormal"/>
        <w:spacing w:line="590" w:lineRule="atLeast"/>
        <w:ind w:firstLine="600"/>
        <w:jc w:val="left"/>
        <w:rPr>
          <w:rFonts w:asciiTheme="minorEastAsia" w:eastAsiaTheme="minorEastAsia" w:hAnsiTheme="minorEastAsia"/>
          <w:b/>
          <w:sz w:val="30"/>
          <w:szCs w:val="30"/>
        </w:rPr>
      </w:pPr>
      <w:r w:rsidRPr="00495CB5">
        <w:rPr>
          <w:rFonts w:asciiTheme="minorEastAsia" w:eastAsiaTheme="minorEastAsia" w:hAnsiTheme="minorEastAsia" w:cs="黑体" w:hint="eastAsia"/>
          <w:b/>
          <w:sz w:val="30"/>
          <w:szCs w:val="30"/>
        </w:rPr>
        <w:t>二</w:t>
      </w:r>
      <w:r w:rsidR="00A930CF" w:rsidRPr="00495CB5">
        <w:rPr>
          <w:rFonts w:asciiTheme="minorEastAsia" w:eastAsiaTheme="minorEastAsia" w:hAnsiTheme="minorEastAsia" w:cs="黑体"/>
          <w:b/>
          <w:sz w:val="30"/>
          <w:szCs w:val="30"/>
        </w:rPr>
        <w:t>、相关口径说明</w:t>
      </w:r>
    </w:p>
    <w:p w:rsidR="00A930CF" w:rsidRPr="00C25ED2" w:rsidRDefault="00A930CF" w:rsidP="00A930CF">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仿宋"/>
          <w:sz w:val="30"/>
          <w:szCs w:val="30"/>
        </w:rPr>
        <w:t>（一）基本支出中人员经费包括工资福利支出和对个人和家庭的补助，日常公用支出包括商品和服务支出、资本性支出等人员经费以外的支出。</w:t>
      </w:r>
    </w:p>
    <w:p w:rsidR="00A930CF" w:rsidRPr="00C25ED2" w:rsidRDefault="00A930CF" w:rsidP="00A930CF">
      <w:pPr>
        <w:pStyle w:val="pMsoNormal"/>
        <w:spacing w:line="590" w:lineRule="atLeast"/>
        <w:ind w:firstLine="600"/>
        <w:jc w:val="left"/>
        <w:rPr>
          <w:rFonts w:asciiTheme="minorEastAsia" w:eastAsiaTheme="minorEastAsia" w:hAnsiTheme="minorEastAsia"/>
          <w:sz w:val="30"/>
          <w:szCs w:val="30"/>
        </w:rPr>
      </w:pPr>
      <w:r w:rsidRPr="00C25ED2">
        <w:rPr>
          <w:rFonts w:asciiTheme="minorEastAsia" w:eastAsiaTheme="minorEastAsia" w:hAnsiTheme="minorEastAsia" w:cs="仿宋"/>
          <w:sz w:val="30"/>
          <w:szCs w:val="30"/>
        </w:rPr>
        <w:t>（二）按照党中央、国务院有关文件及部门预算管理有关规定，</w:t>
      </w:r>
      <w:r w:rsidRPr="00C25ED2">
        <w:rPr>
          <w:rFonts w:asciiTheme="minorEastAsia" w:eastAsiaTheme="minorEastAsia" w:hAnsiTheme="minorEastAsia" w:cs="Times New Roman"/>
          <w:sz w:val="30"/>
          <w:szCs w:val="30"/>
        </w:rPr>
        <w:t>“</w:t>
      </w:r>
      <w:r w:rsidRPr="00C25ED2">
        <w:rPr>
          <w:rFonts w:asciiTheme="minorEastAsia" w:eastAsiaTheme="minorEastAsia" w:hAnsiTheme="minorEastAsia" w:cs="仿宋"/>
          <w:sz w:val="30"/>
          <w:szCs w:val="30"/>
        </w:rPr>
        <w:t>三公</w:t>
      </w:r>
      <w:r w:rsidRPr="00C25ED2">
        <w:rPr>
          <w:rFonts w:asciiTheme="minorEastAsia" w:eastAsiaTheme="minorEastAsia" w:hAnsiTheme="minorEastAsia" w:cs="Times New Roman"/>
          <w:sz w:val="30"/>
          <w:szCs w:val="30"/>
        </w:rPr>
        <w:t>”</w:t>
      </w:r>
      <w:r w:rsidRPr="00C25ED2">
        <w:rPr>
          <w:rFonts w:asciiTheme="minorEastAsia" w:eastAsiaTheme="minorEastAsia" w:hAnsiTheme="minorEastAsia" w:cs="仿宋"/>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含</w:t>
      </w:r>
      <w:r w:rsidRPr="00C25ED2">
        <w:rPr>
          <w:rFonts w:asciiTheme="minorEastAsia" w:eastAsiaTheme="minorEastAsia" w:hAnsiTheme="minorEastAsia" w:cs="仿宋"/>
          <w:sz w:val="30"/>
          <w:szCs w:val="30"/>
        </w:rPr>
        <w:lastRenderedPageBreak/>
        <w:t>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A930CF" w:rsidRPr="00C25ED2" w:rsidRDefault="00A930CF" w:rsidP="00A930CF">
      <w:pPr>
        <w:pStyle w:val="pMsoNormal"/>
        <w:spacing w:line="590" w:lineRule="atLeast"/>
        <w:jc w:val="center"/>
        <w:rPr>
          <w:rFonts w:asciiTheme="minorEastAsia" w:eastAsiaTheme="minorEastAsia" w:hAnsiTheme="minorEastAsia"/>
          <w:b/>
          <w:sz w:val="30"/>
          <w:szCs w:val="30"/>
        </w:rPr>
      </w:pPr>
      <w:r w:rsidRPr="00C25ED2">
        <w:rPr>
          <w:rFonts w:asciiTheme="minorEastAsia" w:eastAsiaTheme="minorEastAsia" w:hAnsiTheme="minorEastAsia" w:cs="黑体"/>
          <w:b/>
          <w:sz w:val="30"/>
          <w:szCs w:val="30"/>
        </w:rPr>
        <w:t>第五部分</w:t>
      </w:r>
      <w:r w:rsidRPr="00C25ED2">
        <w:rPr>
          <w:rFonts w:asciiTheme="minorEastAsia" w:eastAsiaTheme="minorEastAsia" w:hAnsiTheme="minorEastAsia" w:cs="Calibri"/>
          <w:b/>
          <w:sz w:val="30"/>
          <w:szCs w:val="30"/>
        </w:rPr>
        <w:t>  </w:t>
      </w:r>
      <w:r w:rsidRPr="00C25ED2">
        <w:rPr>
          <w:rFonts w:asciiTheme="minorEastAsia" w:eastAsiaTheme="minorEastAsia" w:hAnsiTheme="minorEastAsia" w:cs="黑体"/>
          <w:b/>
          <w:sz w:val="30"/>
          <w:szCs w:val="30"/>
        </w:rPr>
        <w:t>名词解释</w:t>
      </w:r>
    </w:p>
    <w:p w:rsidR="00A930CF" w:rsidRPr="00C25ED2" w:rsidRDefault="00A930CF" w:rsidP="00A930CF">
      <w:pPr>
        <w:pStyle w:val="pMsoNormal"/>
        <w:spacing w:line="590" w:lineRule="atLeast"/>
        <w:ind w:firstLine="600"/>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1.一般公共预算：是对以税收为主体的财政收入，安排用于保障和改善民生、推动经济社会发展、维护国家安全、维持国家机构正常运转等方面的收支预算。</w:t>
      </w:r>
    </w:p>
    <w:p w:rsidR="00A930CF" w:rsidRPr="00C25ED2" w:rsidRDefault="00A930CF" w:rsidP="00D74A5C">
      <w:pPr>
        <w:pStyle w:val="pMsoNormal"/>
        <w:spacing w:line="590" w:lineRule="atLeast"/>
        <w:ind w:firstLine="600"/>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2.基本支出：保障机构正常运转的日常支出、完成日常工作任务而发生的各项支出，包括一般人员经费、公用经费、工作经费、业务费、死亡一次性抚恤等。</w:t>
      </w:r>
    </w:p>
    <w:p w:rsidR="00535EB0" w:rsidRPr="00C25ED2" w:rsidRDefault="00D74A5C" w:rsidP="00C25ED2">
      <w:pPr>
        <w:pStyle w:val="pMsoNormal"/>
        <w:spacing w:line="590" w:lineRule="atLeast"/>
        <w:ind w:firstLine="600"/>
        <w:rPr>
          <w:rFonts w:asciiTheme="minorEastAsia" w:eastAsiaTheme="minorEastAsia" w:hAnsiTheme="minorEastAsia" w:cs="仿宋"/>
          <w:sz w:val="30"/>
          <w:szCs w:val="30"/>
        </w:rPr>
      </w:pPr>
      <w:r w:rsidRPr="00C25ED2">
        <w:rPr>
          <w:rFonts w:asciiTheme="minorEastAsia" w:eastAsiaTheme="minorEastAsia" w:hAnsiTheme="minorEastAsia" w:cs="仿宋" w:hint="eastAsia"/>
          <w:sz w:val="30"/>
          <w:szCs w:val="30"/>
        </w:rPr>
        <w:t>3.</w:t>
      </w:r>
      <w:r w:rsidR="00A930CF" w:rsidRPr="00C25ED2">
        <w:rPr>
          <w:rFonts w:asciiTheme="minorEastAsia" w:eastAsiaTheme="minorEastAsia" w:hAnsiTheme="minorEastAsia" w:cs="仿宋" w:hint="eastAsia"/>
          <w:sz w:val="30"/>
          <w:szCs w:val="30"/>
        </w:rPr>
        <w:t>项目支出：为完成特定的行政工作任务或事业发展目标，在基本支出之外发生的各项支出。</w:t>
      </w:r>
    </w:p>
    <w:sectPr w:rsidR="00535EB0" w:rsidRPr="00C25ED2" w:rsidSect="002C199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49" w:rsidRDefault="00B72F49" w:rsidP="00A930CF">
      <w:r>
        <w:separator/>
      </w:r>
    </w:p>
  </w:endnote>
  <w:endnote w:type="continuationSeparator" w:id="0">
    <w:p w:rsidR="00B72F49" w:rsidRDefault="00B72F49" w:rsidP="00A930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00000000"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楷体">
    <w:altName w:val="Arial Unicode MS"/>
    <w:panose1 w:val="02010609060101010101"/>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501"/>
      <w:docPartObj>
        <w:docPartGallery w:val="Page Numbers (Bottom of Page)"/>
        <w:docPartUnique/>
      </w:docPartObj>
    </w:sdtPr>
    <w:sdtContent>
      <w:p w:rsidR="00C25ED2" w:rsidRDefault="00B936B0">
        <w:pPr>
          <w:pStyle w:val="a4"/>
          <w:jc w:val="center"/>
        </w:pPr>
        <w:fldSimple w:instr=" PAGE   \* MERGEFORMAT ">
          <w:r w:rsidR="00581F32" w:rsidRPr="00581F32">
            <w:rPr>
              <w:noProof/>
              <w:lang w:val="zh-CN"/>
            </w:rPr>
            <w:t>11</w:t>
          </w:r>
        </w:fldSimple>
      </w:p>
    </w:sdtContent>
  </w:sdt>
  <w:p w:rsidR="00C25ED2" w:rsidRDefault="00C25E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49" w:rsidRDefault="00B72F49" w:rsidP="00A930CF">
      <w:r>
        <w:separator/>
      </w:r>
    </w:p>
  </w:footnote>
  <w:footnote w:type="continuationSeparator" w:id="0">
    <w:p w:rsidR="00B72F49" w:rsidRDefault="00B72F49" w:rsidP="00A93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333"/>
    <w:rsid w:val="00016069"/>
    <w:rsid w:val="000A217E"/>
    <w:rsid w:val="001619F7"/>
    <w:rsid w:val="001F743B"/>
    <w:rsid w:val="002E02AB"/>
    <w:rsid w:val="00316441"/>
    <w:rsid w:val="00495CB5"/>
    <w:rsid w:val="00502726"/>
    <w:rsid w:val="00524C72"/>
    <w:rsid w:val="00535EB0"/>
    <w:rsid w:val="00581F32"/>
    <w:rsid w:val="007D5A79"/>
    <w:rsid w:val="008656F1"/>
    <w:rsid w:val="008F4758"/>
    <w:rsid w:val="009C5743"/>
    <w:rsid w:val="00A930CF"/>
    <w:rsid w:val="00AD4CF2"/>
    <w:rsid w:val="00B72F49"/>
    <w:rsid w:val="00B936B0"/>
    <w:rsid w:val="00C25ED2"/>
    <w:rsid w:val="00C56672"/>
    <w:rsid w:val="00CA366D"/>
    <w:rsid w:val="00D67705"/>
    <w:rsid w:val="00D74A5C"/>
    <w:rsid w:val="00E53BC5"/>
    <w:rsid w:val="00FA73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0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30CF"/>
    <w:rPr>
      <w:sz w:val="18"/>
      <w:szCs w:val="18"/>
    </w:rPr>
  </w:style>
  <w:style w:type="paragraph" w:styleId="a4">
    <w:name w:val="footer"/>
    <w:basedOn w:val="a"/>
    <w:link w:val="Char0"/>
    <w:uiPriority w:val="99"/>
    <w:unhideWhenUsed/>
    <w:rsid w:val="00A930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30CF"/>
    <w:rPr>
      <w:sz w:val="18"/>
      <w:szCs w:val="18"/>
    </w:rPr>
  </w:style>
  <w:style w:type="paragraph" w:customStyle="1" w:styleId="pMsoNormal">
    <w:name w:val="p_MsoNormal"/>
    <w:basedOn w:val="a"/>
    <w:rsid w:val="00A930CF"/>
    <w:pPr>
      <w:widowControl/>
    </w:pPr>
    <w:rPr>
      <w:rFonts w:ascii="等线" w:eastAsia="等线" w:hAnsi="等线" w:cs="等线"/>
      <w:kern w:val="0"/>
      <w:szCs w:val="21"/>
    </w:rPr>
  </w:style>
  <w:style w:type="paragraph" w:styleId="a5">
    <w:name w:val="Balloon Text"/>
    <w:basedOn w:val="a"/>
    <w:link w:val="Char1"/>
    <w:uiPriority w:val="99"/>
    <w:semiHidden/>
    <w:unhideWhenUsed/>
    <w:rsid w:val="00A930CF"/>
    <w:rPr>
      <w:sz w:val="18"/>
      <w:szCs w:val="18"/>
    </w:rPr>
  </w:style>
  <w:style w:type="character" w:customStyle="1" w:styleId="Char1">
    <w:name w:val="批注框文本 Char"/>
    <w:basedOn w:val="a0"/>
    <w:link w:val="a5"/>
    <w:uiPriority w:val="99"/>
    <w:semiHidden/>
    <w:rsid w:val="00A930CF"/>
    <w:rPr>
      <w:rFonts w:ascii="Calibri" w:eastAsia="宋体" w:hAnsi="Calibri" w:cs="Times New Roman"/>
      <w:sz w:val="18"/>
      <w:szCs w:val="18"/>
    </w:rPr>
  </w:style>
  <w:style w:type="paragraph" w:styleId="a6">
    <w:name w:val="List Paragraph"/>
    <w:basedOn w:val="a"/>
    <w:uiPriority w:val="99"/>
    <w:qFormat/>
    <w:rsid w:val="00A930CF"/>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0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0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30CF"/>
    <w:rPr>
      <w:sz w:val="18"/>
      <w:szCs w:val="18"/>
    </w:rPr>
  </w:style>
  <w:style w:type="paragraph" w:styleId="a4">
    <w:name w:val="footer"/>
    <w:basedOn w:val="a"/>
    <w:link w:val="Char0"/>
    <w:uiPriority w:val="99"/>
    <w:unhideWhenUsed/>
    <w:rsid w:val="00A930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30CF"/>
    <w:rPr>
      <w:sz w:val="18"/>
      <w:szCs w:val="18"/>
    </w:rPr>
  </w:style>
  <w:style w:type="paragraph" w:customStyle="1" w:styleId="pMsoNormal">
    <w:name w:val="p_MsoNormal"/>
    <w:basedOn w:val="a"/>
    <w:rsid w:val="00A930CF"/>
    <w:pPr>
      <w:widowControl/>
    </w:pPr>
    <w:rPr>
      <w:rFonts w:ascii="等线" w:eastAsia="等线" w:hAnsi="等线" w:cs="等线"/>
      <w:kern w:val="0"/>
      <w:szCs w:val="21"/>
    </w:rPr>
  </w:style>
  <w:style w:type="paragraph" w:styleId="a5">
    <w:name w:val="Balloon Text"/>
    <w:basedOn w:val="a"/>
    <w:link w:val="Char1"/>
    <w:uiPriority w:val="99"/>
    <w:semiHidden/>
    <w:unhideWhenUsed/>
    <w:rsid w:val="00A930CF"/>
    <w:rPr>
      <w:sz w:val="18"/>
      <w:szCs w:val="18"/>
    </w:rPr>
  </w:style>
  <w:style w:type="character" w:customStyle="1" w:styleId="Char1">
    <w:name w:val="批注框文本 Char"/>
    <w:basedOn w:val="a0"/>
    <w:link w:val="a5"/>
    <w:uiPriority w:val="99"/>
    <w:semiHidden/>
    <w:rsid w:val="00A930CF"/>
    <w:rPr>
      <w:rFonts w:ascii="Calibri" w:eastAsia="宋体" w:hAnsi="Calibri" w:cs="Times New Roman"/>
      <w:sz w:val="18"/>
      <w:szCs w:val="18"/>
    </w:rPr>
  </w:style>
  <w:style w:type="paragraph" w:styleId="a6">
    <w:name w:val="List Paragraph"/>
    <w:basedOn w:val="a"/>
    <w:uiPriority w:val="99"/>
    <w:qFormat/>
    <w:rsid w:val="00A930CF"/>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Sheet1!$B$1</c:f>
              <c:strCache>
                <c:ptCount val="1"/>
                <c:pt idx="0">
                  <c:v>收入构成</c:v>
                </c:pt>
              </c:strCache>
            </c:strRef>
          </c:tx>
          <c:dLbls>
            <c:showVal val="1"/>
            <c:showLeaderLines val="1"/>
          </c:dLbls>
          <c:cat>
            <c:strRef>
              <c:f>Sheet1!$A$2:$A$4</c:f>
              <c:strCache>
                <c:ptCount val="3"/>
                <c:pt idx="0">
                  <c:v>事业收入</c:v>
                </c:pt>
                <c:pt idx="1">
                  <c:v>财政拨款收入</c:v>
                </c:pt>
                <c:pt idx="2">
                  <c:v>其他收入</c:v>
                </c:pt>
              </c:strCache>
            </c:strRef>
          </c:cat>
          <c:val>
            <c:numRef>
              <c:f>Sheet1!$B$2:$B$4</c:f>
              <c:numCache>
                <c:formatCode>#,##0.00</c:formatCode>
                <c:ptCount val="3"/>
                <c:pt idx="0">
                  <c:v>151189.26</c:v>
                </c:pt>
                <c:pt idx="1">
                  <c:v>10237.25</c:v>
                </c:pt>
                <c:pt idx="2">
                  <c:v>1238.48</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2018年</c:v>
                </c:pt>
              </c:strCache>
            </c:strRef>
          </c:tx>
          <c:cat>
            <c:strRef>
              <c:f>Sheet1!$A$2:$A$4</c:f>
              <c:strCache>
                <c:ptCount val="3"/>
                <c:pt idx="0">
                  <c:v>事业收入</c:v>
                </c:pt>
                <c:pt idx="1">
                  <c:v>财政拨款收入</c:v>
                </c:pt>
                <c:pt idx="2">
                  <c:v>其他收入</c:v>
                </c:pt>
              </c:strCache>
            </c:strRef>
          </c:cat>
          <c:val>
            <c:numRef>
              <c:f>Sheet1!$B$2:$B$4</c:f>
              <c:numCache>
                <c:formatCode>#,##0.00</c:formatCode>
                <c:ptCount val="3"/>
                <c:pt idx="0" formatCode="General">
                  <c:v>133902.34</c:v>
                </c:pt>
                <c:pt idx="1">
                  <c:v>8405.58</c:v>
                </c:pt>
                <c:pt idx="2" formatCode="General">
                  <c:v>1809.35</c:v>
                </c:pt>
              </c:numCache>
            </c:numRef>
          </c:val>
        </c:ser>
        <c:ser>
          <c:idx val="1"/>
          <c:order val="1"/>
          <c:tx>
            <c:strRef>
              <c:f>Sheet1!$C$1</c:f>
              <c:strCache>
                <c:ptCount val="1"/>
                <c:pt idx="0">
                  <c:v>2019年</c:v>
                </c:pt>
              </c:strCache>
            </c:strRef>
          </c:tx>
          <c:cat>
            <c:strRef>
              <c:f>Sheet1!$A$2:$A$4</c:f>
              <c:strCache>
                <c:ptCount val="3"/>
                <c:pt idx="0">
                  <c:v>事业收入</c:v>
                </c:pt>
                <c:pt idx="1">
                  <c:v>财政拨款收入</c:v>
                </c:pt>
                <c:pt idx="2">
                  <c:v>其他收入</c:v>
                </c:pt>
              </c:strCache>
            </c:strRef>
          </c:cat>
          <c:val>
            <c:numRef>
              <c:f>Sheet1!$C$2:$C$4</c:f>
              <c:numCache>
                <c:formatCode>#,##0.00</c:formatCode>
                <c:ptCount val="3"/>
                <c:pt idx="0">
                  <c:v>151189.26</c:v>
                </c:pt>
                <c:pt idx="1">
                  <c:v>10237.25</c:v>
                </c:pt>
                <c:pt idx="2">
                  <c:v>1238.48</c:v>
                </c:pt>
              </c:numCache>
            </c:numRef>
          </c:val>
        </c:ser>
        <c:axId val="365904256"/>
        <c:axId val="365905792"/>
      </c:barChart>
      <c:catAx>
        <c:axId val="365904256"/>
        <c:scaling>
          <c:orientation val="minMax"/>
        </c:scaling>
        <c:axPos val="b"/>
        <c:tickLblPos val="nextTo"/>
        <c:crossAx val="365905792"/>
        <c:crosses val="autoZero"/>
        <c:auto val="1"/>
        <c:lblAlgn val="ctr"/>
        <c:lblOffset val="100"/>
      </c:catAx>
      <c:valAx>
        <c:axId val="365905792"/>
        <c:scaling>
          <c:orientation val="minMax"/>
        </c:scaling>
        <c:axPos val="l"/>
        <c:majorGridlines/>
        <c:numFmt formatCode="General" sourceLinked="1"/>
        <c:tickLblPos val="nextTo"/>
        <c:crossAx val="36590425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Sheet1!$B$1</c:f>
              <c:strCache>
                <c:ptCount val="1"/>
                <c:pt idx="0">
                  <c:v>支出结构图</c:v>
                </c:pt>
              </c:strCache>
            </c:strRef>
          </c:tx>
          <c:explosion val="25"/>
          <c:cat>
            <c:strRef>
              <c:f>Sheet1!$A$2:$A$3</c:f>
              <c:strCache>
                <c:ptCount val="2"/>
                <c:pt idx="0">
                  <c:v>基本支出</c:v>
                </c:pt>
                <c:pt idx="1">
                  <c:v>项目支出</c:v>
                </c:pt>
              </c:strCache>
            </c:strRef>
          </c:cat>
          <c:val>
            <c:numRef>
              <c:f>Sheet1!$B$2:$B$3</c:f>
              <c:numCache>
                <c:formatCode>General</c:formatCode>
                <c:ptCount val="2"/>
                <c:pt idx="0">
                  <c:v>120005.63</c:v>
                </c:pt>
                <c:pt idx="1">
                  <c:v>4068.59</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style val="10"/>
  <c:chart>
    <c:title/>
    <c:plotArea>
      <c:layout/>
      <c:pieChart>
        <c:varyColors val="1"/>
        <c:ser>
          <c:idx val="0"/>
          <c:order val="0"/>
          <c:tx>
            <c:strRef>
              <c:f>Sheet1!$B$1</c:f>
              <c:strCache>
                <c:ptCount val="1"/>
                <c:pt idx="0">
                  <c:v>一般公共预算财政拨款支出</c:v>
                </c:pt>
              </c:strCache>
            </c:strRef>
          </c:tx>
          <c:explosion val="25"/>
          <c:dLbls>
            <c:showPercent val="1"/>
            <c:showLeaderLines val="1"/>
          </c:dLbls>
          <c:cat>
            <c:strRef>
              <c:f>Sheet1!$A$2:$A$5</c:f>
              <c:strCache>
                <c:ptCount val="4"/>
                <c:pt idx="0">
                  <c:v>一般公共服务支出</c:v>
                </c:pt>
                <c:pt idx="1">
                  <c:v>科学技术支出</c:v>
                </c:pt>
                <c:pt idx="2">
                  <c:v>社会保障和就业支出</c:v>
                </c:pt>
                <c:pt idx="3">
                  <c:v>卫生健康支出</c:v>
                </c:pt>
              </c:strCache>
            </c:strRef>
          </c:cat>
          <c:val>
            <c:numRef>
              <c:f>Sheet1!$B$2:$B$5</c:f>
              <c:numCache>
                <c:formatCode>General</c:formatCode>
                <c:ptCount val="4"/>
                <c:pt idx="0">
                  <c:v>10</c:v>
                </c:pt>
                <c:pt idx="1">
                  <c:v>621</c:v>
                </c:pt>
                <c:pt idx="2">
                  <c:v>147.23999999999998</c:v>
                </c:pt>
                <c:pt idx="3">
                  <c:v>9389.26</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763</Words>
  <Characters>4351</Characters>
  <Application>Microsoft Office Word</Application>
  <DocSecurity>0</DocSecurity>
  <Lines>36</Lines>
  <Paragraphs>10</Paragraphs>
  <ScaleCrop>false</ScaleCrop>
  <Company>aaa</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云南大学附属医院</cp:lastModifiedBy>
  <cp:revision>18</cp:revision>
  <dcterms:created xsi:type="dcterms:W3CDTF">2020-08-21T07:24:00Z</dcterms:created>
  <dcterms:modified xsi:type="dcterms:W3CDTF">2023-05-10T02:36:00Z</dcterms:modified>
</cp:coreProperties>
</file>